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306" w:rsidRPr="00DF5306" w:rsidRDefault="001606C5" w:rsidP="00DF5306">
      <w:pPr>
        <w:spacing w:after="0" w:line="240" w:lineRule="auto"/>
        <w:jc w:val="center"/>
        <w:rPr>
          <w:rFonts w:ascii="Verdana" w:hAnsi="Verdana" w:cstheme="minorHAnsi"/>
          <w:b/>
          <w:lang w:val="en-GB"/>
        </w:rPr>
      </w:pPr>
      <w:bookmarkStart w:id="0" w:name="_GoBack"/>
      <w:r>
        <w:rPr>
          <w:rFonts w:ascii="Verdana" w:hAnsi="Verdana" w:cstheme="minorHAnsi"/>
          <w:b/>
          <w:lang w:val="en-GB"/>
        </w:rPr>
        <w:t xml:space="preserve">Ukrainian </w:t>
      </w:r>
      <w:r w:rsidR="00DF5306" w:rsidRPr="00DF5306">
        <w:rPr>
          <w:rFonts w:ascii="Verdana" w:hAnsi="Verdana" w:cstheme="minorHAnsi"/>
          <w:b/>
          <w:lang w:val="en-GB"/>
        </w:rPr>
        <w:t xml:space="preserve">Legal Expert for the Support Group for establishment and operationalization of the High Anti-Corruption Court </w:t>
      </w:r>
      <w:r w:rsidR="00756268">
        <w:rPr>
          <w:rFonts w:ascii="Verdana" w:hAnsi="Verdana" w:cstheme="minorHAnsi"/>
          <w:b/>
          <w:lang w:val="en-GB"/>
        </w:rPr>
        <w:t>(2 positions)</w:t>
      </w:r>
      <w:bookmarkEnd w:id="0"/>
    </w:p>
    <w:p w:rsidR="00033769" w:rsidRDefault="00033769" w:rsidP="00F53E9C">
      <w:pPr>
        <w:spacing w:after="0" w:line="240" w:lineRule="auto"/>
        <w:jc w:val="center"/>
        <w:rPr>
          <w:rFonts w:ascii="Verdana" w:hAnsi="Verdana" w:cstheme="minorHAnsi"/>
          <w:b/>
          <w:lang w:val="en-GB"/>
        </w:rPr>
      </w:pPr>
    </w:p>
    <w:p w:rsidR="00647964" w:rsidRPr="002E40CD" w:rsidRDefault="00BB75E2" w:rsidP="002E40CD">
      <w:pPr>
        <w:spacing w:after="0" w:line="240" w:lineRule="auto"/>
        <w:jc w:val="right"/>
        <w:rPr>
          <w:rFonts w:ascii="Verdana" w:hAnsi="Verdana" w:cstheme="minorHAnsi"/>
          <w:lang w:val="en-GB"/>
        </w:rPr>
      </w:pPr>
      <w:r>
        <w:rPr>
          <w:rFonts w:ascii="Verdana" w:hAnsi="Verdana" w:cstheme="minorHAnsi"/>
          <w:lang w:val="en-GB"/>
        </w:rPr>
        <w:t>March</w:t>
      </w:r>
      <w:r w:rsidR="002E40CD" w:rsidRPr="002E40CD">
        <w:rPr>
          <w:rFonts w:ascii="Verdana" w:hAnsi="Verdana" w:cstheme="minorHAnsi"/>
          <w:lang w:val="en-GB"/>
        </w:rPr>
        <w:t xml:space="preserve"> 2019</w:t>
      </w:r>
    </w:p>
    <w:p w:rsidR="00CC6F81" w:rsidRPr="00036A21" w:rsidRDefault="00CC6F81" w:rsidP="00CC6F81">
      <w:pPr>
        <w:spacing w:after="0" w:line="240" w:lineRule="auto"/>
        <w:jc w:val="center"/>
        <w:rPr>
          <w:rFonts w:ascii="Verdana" w:hAnsi="Verdana" w:cstheme="minorHAnsi"/>
          <w:b/>
          <w:lang w:val="en-GB"/>
        </w:rPr>
      </w:pPr>
      <w:r w:rsidRPr="00036A21">
        <w:rPr>
          <w:rFonts w:ascii="Verdana" w:hAnsi="Verdana" w:cstheme="minorHAnsi"/>
          <w:b/>
          <w:lang w:val="en-GB"/>
        </w:rPr>
        <w:t xml:space="preserve">Terms of Reference </w:t>
      </w:r>
    </w:p>
    <w:p w:rsidR="00CC6F81" w:rsidRPr="00036A21" w:rsidRDefault="00CC6F81" w:rsidP="00CC6F81">
      <w:pPr>
        <w:spacing w:after="0" w:line="240" w:lineRule="auto"/>
        <w:jc w:val="center"/>
        <w:rPr>
          <w:rFonts w:ascii="Verdana" w:hAnsi="Verdana" w:cstheme="minorHAnsi"/>
          <w:b/>
          <w:lang w:val="en-GB"/>
        </w:rPr>
      </w:pPr>
    </w:p>
    <w:p w:rsidR="00CC6F81" w:rsidRPr="00036A21" w:rsidRDefault="00CC6F81" w:rsidP="003B4108">
      <w:pPr>
        <w:pStyle w:val="ListParagraph"/>
        <w:numPr>
          <w:ilvl w:val="0"/>
          <w:numId w:val="5"/>
        </w:numPr>
        <w:jc w:val="both"/>
        <w:rPr>
          <w:rFonts w:ascii="Verdana" w:hAnsi="Verdana" w:cstheme="minorHAnsi"/>
          <w:b/>
          <w:sz w:val="22"/>
          <w:szCs w:val="22"/>
        </w:rPr>
      </w:pPr>
      <w:r w:rsidRPr="00036A21">
        <w:rPr>
          <w:rFonts w:ascii="Verdana" w:hAnsi="Verdana" w:cstheme="minorHAnsi"/>
          <w:b/>
          <w:sz w:val="22"/>
          <w:szCs w:val="22"/>
        </w:rPr>
        <w:t>Background</w:t>
      </w:r>
    </w:p>
    <w:p w:rsidR="003B4108" w:rsidRPr="00036A21" w:rsidRDefault="003B4108" w:rsidP="003B4108">
      <w:pPr>
        <w:pStyle w:val="ListParagraph"/>
        <w:jc w:val="both"/>
        <w:rPr>
          <w:rFonts w:ascii="Verdana" w:hAnsi="Verdana" w:cstheme="minorHAnsi"/>
          <w:b/>
          <w:sz w:val="22"/>
          <w:szCs w:val="22"/>
        </w:rPr>
      </w:pPr>
    </w:p>
    <w:p w:rsidR="0046405D" w:rsidRPr="00036A21" w:rsidRDefault="0046405D" w:rsidP="00033769">
      <w:pPr>
        <w:spacing w:line="240" w:lineRule="auto"/>
        <w:jc w:val="both"/>
        <w:rPr>
          <w:rFonts w:ascii="Verdana" w:hAnsi="Verdana" w:cstheme="minorHAnsi"/>
          <w:lang w:val="en-GB"/>
        </w:rPr>
      </w:pPr>
      <w:bookmarkStart w:id="1" w:name="_Hlk522544778"/>
      <w:r w:rsidRPr="00036A21">
        <w:rPr>
          <w:rFonts w:ascii="Verdana" w:hAnsi="Verdana" w:cstheme="minorHAnsi"/>
          <w:lang w:val="en-GB"/>
        </w:rPr>
        <w:t>The programme “EU Anti-Corruption Initiative in Ukraine (EUACI)” is a three-year programme (2017-2019) implemented by the Danish International Development Agency using the indirect implementation modality. The overall objective of the programme is to improve the implementation of anti-corruption policy in Ukraine, thereby ultimately contributing to a reduction in corruption. In pursuing this objective, the programme supports all key institutions mandated to fight high-level corruption in Ukraine, from prevention to investigation, prosecution, adjudication of corruption cases and recovery of illegally obtained assets in line w</w:t>
      </w:r>
      <w:r w:rsidR="00D119C3">
        <w:rPr>
          <w:rFonts w:ascii="Verdana" w:hAnsi="Verdana" w:cstheme="minorHAnsi"/>
          <w:lang w:val="en-GB"/>
        </w:rPr>
        <w:t>ith international norms and</w:t>
      </w:r>
      <w:r w:rsidRPr="00036A21">
        <w:rPr>
          <w:rFonts w:ascii="Verdana" w:hAnsi="Verdana" w:cstheme="minorHAnsi"/>
          <w:lang w:val="en-GB"/>
        </w:rPr>
        <w:t xml:space="preserve"> European practices. </w:t>
      </w:r>
    </w:p>
    <w:p w:rsidR="0046405D" w:rsidRPr="00036A21" w:rsidRDefault="0046405D" w:rsidP="00033769">
      <w:pPr>
        <w:spacing w:line="240" w:lineRule="auto"/>
        <w:jc w:val="both"/>
        <w:rPr>
          <w:rFonts w:ascii="Verdana" w:hAnsi="Verdana" w:cstheme="minorHAnsi"/>
          <w:lang w:val="en-GB"/>
        </w:rPr>
      </w:pPr>
      <w:r w:rsidRPr="00036A21">
        <w:rPr>
          <w:rFonts w:ascii="Verdana" w:hAnsi="Verdana" w:cstheme="minorHAnsi"/>
          <w:lang w:val="en-GB"/>
        </w:rPr>
        <w:t>The Law of Ukraine on the High Anti-Corruption Court (LHACC), adopted by the Ukrainian Parliament on 7 June 2018, entered into force on 14 June 2018</w:t>
      </w:r>
      <w:r w:rsidR="0087174A">
        <w:rPr>
          <w:rFonts w:ascii="Verdana" w:hAnsi="Verdana" w:cstheme="minorHAnsi"/>
          <w:lang w:val="en-GB"/>
        </w:rPr>
        <w:t xml:space="preserve"> (see </w:t>
      </w:r>
      <w:r w:rsidR="0087174A" w:rsidRPr="00C77EF1">
        <w:rPr>
          <w:rFonts w:ascii="Verdana" w:hAnsi="Verdana" w:cstheme="minorHAnsi"/>
          <w:lang w:val="en-GB"/>
        </w:rPr>
        <w:t>ANNEX 1</w:t>
      </w:r>
      <w:r w:rsidR="0087174A">
        <w:rPr>
          <w:rFonts w:ascii="Verdana" w:hAnsi="Verdana" w:cstheme="minorHAnsi"/>
          <w:lang w:val="en-GB"/>
        </w:rPr>
        <w:t>)</w:t>
      </w:r>
      <w:r w:rsidRPr="00036A21">
        <w:rPr>
          <w:rFonts w:ascii="Verdana" w:hAnsi="Verdana" w:cstheme="minorHAnsi"/>
          <w:lang w:val="en-GB"/>
        </w:rPr>
        <w:t xml:space="preserve">. The High Anti-Corruption Court (HACC) is a specialized court of 39 judges mandated with adjudicating high-level corruption cases investigated by the National Anti-Corruption Bureau of Ukraine and prosecuted by the Specialized Anti-Corruption Prosecution Office. HACC completes the chain of specialized bodies in the criminal justice chain established for effective investigation, prosecution and adjudication of high-level corruption cases in Ukraine. Ukrainian authorities have decided to establish the court by </w:t>
      </w:r>
      <w:r w:rsidR="00036A21">
        <w:rPr>
          <w:rFonts w:ascii="Verdana" w:hAnsi="Verdana" w:cstheme="minorHAnsi"/>
          <w:lang w:val="en-GB"/>
        </w:rPr>
        <w:t>June</w:t>
      </w:r>
      <w:r w:rsidRPr="00036A21">
        <w:rPr>
          <w:rFonts w:ascii="Verdana" w:hAnsi="Verdana" w:cstheme="minorHAnsi"/>
          <w:lang w:val="en-GB"/>
        </w:rPr>
        <w:t xml:space="preserve"> 2019.</w:t>
      </w:r>
    </w:p>
    <w:p w:rsidR="00D119C3" w:rsidRDefault="0046405D" w:rsidP="00033769">
      <w:pPr>
        <w:shd w:val="clear" w:color="auto" w:fill="FFFFFF"/>
        <w:spacing w:line="240" w:lineRule="auto"/>
        <w:jc w:val="both"/>
        <w:rPr>
          <w:rFonts w:ascii="Verdana" w:eastAsia="Times New Roman" w:hAnsi="Verdana" w:cstheme="minorHAnsi"/>
          <w:color w:val="222222"/>
          <w:lang w:val="en-GB"/>
        </w:rPr>
      </w:pPr>
      <w:r w:rsidRPr="00036A21">
        <w:rPr>
          <w:rFonts w:ascii="Verdana" w:eastAsia="Times New Roman" w:hAnsi="Verdana" w:cstheme="minorHAnsi"/>
          <w:color w:val="222222"/>
          <w:lang w:val="en-GB"/>
        </w:rPr>
        <w:t>The EUACI</w:t>
      </w:r>
      <w:r w:rsidR="003053C3">
        <w:rPr>
          <w:rFonts w:ascii="Verdana" w:eastAsia="Times New Roman" w:hAnsi="Verdana" w:cstheme="minorHAnsi"/>
          <w:color w:val="222222"/>
          <w:lang w:val="en-GB"/>
        </w:rPr>
        <w:t xml:space="preserve"> </w:t>
      </w:r>
      <w:r w:rsidRPr="00036A21">
        <w:rPr>
          <w:rFonts w:ascii="Verdana" w:eastAsia="Times New Roman" w:hAnsi="Verdana" w:cstheme="minorHAnsi"/>
          <w:color w:val="222222"/>
          <w:lang w:val="en-GB"/>
        </w:rPr>
        <w:t>is committed to provide technical assistance to the establishment of the HACC by supporting the following key national stakeholder</w:t>
      </w:r>
      <w:r w:rsidR="00036A21">
        <w:rPr>
          <w:rFonts w:ascii="Verdana" w:eastAsia="Times New Roman" w:hAnsi="Verdana" w:cstheme="minorHAnsi"/>
          <w:color w:val="222222"/>
          <w:lang w:val="en-GB"/>
        </w:rPr>
        <w:t>s</w:t>
      </w:r>
      <w:r w:rsidRPr="00036A21">
        <w:rPr>
          <w:rFonts w:ascii="Verdana" w:eastAsia="Times New Roman" w:hAnsi="Verdana" w:cstheme="minorHAnsi"/>
          <w:color w:val="222222"/>
          <w:lang w:val="en-GB"/>
        </w:rPr>
        <w:t>: the State Judicial Administration of Ukraine (SJA), responsible for organizational, administrative and financial matters of the court; the High Qualification Commission of Judges of Ukraine (HQCJ), responsible for administering the selection process for judge-candidates for the court; the Public Council of International Experts (PCIE), an auxiliary body to HQCJ that is responsible for assisting the HQCJ in the preparation of decisions on the appointment of HACC judges; the High Council of Justice (HCJ), responsible for reviewing candidates selected by HQCJ and their recommendation for appointment to the President of Ukraine.</w:t>
      </w:r>
    </w:p>
    <w:p w:rsidR="00CD6FA0" w:rsidRDefault="0046405D" w:rsidP="00033769">
      <w:pPr>
        <w:shd w:val="clear" w:color="auto" w:fill="FFFFFF"/>
        <w:spacing w:line="240" w:lineRule="auto"/>
        <w:jc w:val="both"/>
        <w:rPr>
          <w:rFonts w:ascii="Verdana" w:eastAsia="Times New Roman" w:hAnsi="Verdana" w:cstheme="minorHAnsi"/>
          <w:color w:val="222222"/>
          <w:lang w:val="en-GB"/>
        </w:rPr>
      </w:pPr>
      <w:r w:rsidRPr="00036A21">
        <w:rPr>
          <w:rFonts w:ascii="Verdana" w:eastAsia="Times New Roman" w:hAnsi="Verdana" w:cstheme="minorHAnsi"/>
          <w:color w:val="222222"/>
          <w:lang w:val="en-GB"/>
        </w:rPr>
        <w:t xml:space="preserve">The SJA, </w:t>
      </w:r>
      <w:r w:rsidR="00877E05">
        <w:rPr>
          <w:rFonts w:ascii="Verdana" w:eastAsia="Times New Roman" w:hAnsi="Verdana" w:cstheme="minorHAnsi"/>
          <w:color w:val="222222"/>
          <w:lang w:val="en-GB"/>
        </w:rPr>
        <w:t xml:space="preserve">which is </w:t>
      </w:r>
      <w:r w:rsidRPr="00036A21">
        <w:rPr>
          <w:rFonts w:ascii="Verdana" w:eastAsia="Times New Roman" w:hAnsi="Verdana" w:cstheme="minorHAnsi"/>
          <w:color w:val="222222"/>
          <w:lang w:val="en-GB"/>
        </w:rPr>
        <w:t xml:space="preserve">accountable to the </w:t>
      </w:r>
      <w:r w:rsidR="00877E05">
        <w:rPr>
          <w:rFonts w:ascii="Verdana" w:eastAsia="Times New Roman" w:hAnsi="Verdana" w:cstheme="minorHAnsi"/>
          <w:color w:val="222222"/>
          <w:lang w:val="en-GB"/>
        </w:rPr>
        <w:t>HCJ</w:t>
      </w:r>
      <w:r w:rsidRPr="00036A21">
        <w:rPr>
          <w:rFonts w:ascii="Verdana" w:eastAsia="Times New Roman" w:hAnsi="Verdana" w:cstheme="minorHAnsi"/>
          <w:color w:val="222222"/>
          <w:lang w:val="en-GB"/>
        </w:rPr>
        <w:t>, is the main administrative state body in the system of justice in Ukraine responsible for organizational, administrative, and financial matters of the judicial system</w:t>
      </w:r>
      <w:r w:rsidR="00D119C3">
        <w:rPr>
          <w:rFonts w:ascii="Verdana" w:eastAsia="Times New Roman" w:hAnsi="Verdana" w:cstheme="minorHAnsi"/>
          <w:color w:val="222222"/>
          <w:lang w:val="en-GB"/>
        </w:rPr>
        <w:t xml:space="preserve">, including the HACC. </w:t>
      </w:r>
      <w:r w:rsidRPr="00036A21">
        <w:rPr>
          <w:rFonts w:ascii="Verdana" w:eastAsia="Times New Roman" w:hAnsi="Verdana" w:cstheme="minorHAnsi"/>
          <w:color w:val="222222"/>
          <w:lang w:val="en-GB"/>
        </w:rPr>
        <w:t>In the process of esta</w:t>
      </w:r>
      <w:r w:rsidR="00D119C3">
        <w:rPr>
          <w:rFonts w:ascii="Verdana" w:eastAsia="Times New Roman" w:hAnsi="Verdana" w:cstheme="minorHAnsi"/>
          <w:color w:val="222222"/>
          <w:lang w:val="en-GB"/>
        </w:rPr>
        <w:t xml:space="preserve">blishment of the HACC, the SJA, on 20 February 2019, </w:t>
      </w:r>
      <w:r w:rsidRPr="00036A21">
        <w:rPr>
          <w:rFonts w:ascii="Verdana" w:eastAsia="Times New Roman" w:hAnsi="Verdana" w:cstheme="minorHAnsi"/>
          <w:color w:val="222222"/>
          <w:lang w:val="en-GB"/>
        </w:rPr>
        <w:t>appoint</w:t>
      </w:r>
      <w:r w:rsidR="00D119C3">
        <w:rPr>
          <w:rFonts w:ascii="Verdana" w:eastAsia="Times New Roman" w:hAnsi="Verdana" w:cstheme="minorHAnsi"/>
          <w:color w:val="222222"/>
          <w:lang w:val="en-GB"/>
        </w:rPr>
        <w:t>ed</w:t>
      </w:r>
      <w:r w:rsidRPr="00036A21">
        <w:rPr>
          <w:rFonts w:ascii="Verdana" w:eastAsia="Times New Roman" w:hAnsi="Verdana" w:cstheme="minorHAnsi"/>
          <w:color w:val="222222"/>
          <w:lang w:val="en-GB"/>
        </w:rPr>
        <w:t xml:space="preserve"> </w:t>
      </w:r>
      <w:r w:rsidR="00D119C3">
        <w:rPr>
          <w:rFonts w:ascii="Verdana" w:eastAsia="Times New Roman" w:hAnsi="Verdana" w:cstheme="minorHAnsi"/>
          <w:color w:val="222222"/>
          <w:lang w:val="en-GB"/>
        </w:rPr>
        <w:t>the</w:t>
      </w:r>
      <w:r w:rsidRPr="00036A21">
        <w:rPr>
          <w:rFonts w:ascii="Verdana" w:eastAsia="Times New Roman" w:hAnsi="Verdana" w:cstheme="minorHAnsi"/>
          <w:color w:val="222222"/>
          <w:lang w:val="en-GB"/>
        </w:rPr>
        <w:t xml:space="preserve"> temporary </w:t>
      </w:r>
      <w:r w:rsidR="00230A64">
        <w:rPr>
          <w:rFonts w:ascii="Verdana" w:eastAsia="Times New Roman" w:hAnsi="Verdana" w:cstheme="minorHAnsi"/>
          <w:color w:val="222222"/>
          <w:lang w:val="en-GB"/>
        </w:rPr>
        <w:t>chief of staff</w:t>
      </w:r>
      <w:r w:rsidRPr="00036A21">
        <w:rPr>
          <w:rFonts w:ascii="Verdana" w:eastAsia="Times New Roman" w:hAnsi="Verdana" w:cstheme="minorHAnsi"/>
          <w:color w:val="222222"/>
          <w:lang w:val="en-GB"/>
        </w:rPr>
        <w:t xml:space="preserve"> of the HACC, responsible for the establishment of the court during the </w:t>
      </w:r>
      <w:r w:rsidRPr="00036A21">
        <w:rPr>
          <w:rFonts w:ascii="Verdana" w:eastAsia="Times New Roman" w:hAnsi="Verdana" w:cstheme="minorHAnsi"/>
          <w:color w:val="222222"/>
          <w:lang w:val="en-GB"/>
        </w:rPr>
        <w:lastRenderedPageBreak/>
        <w:t>preparatory phase. The SJA</w:t>
      </w:r>
      <w:r w:rsidR="0087174A">
        <w:rPr>
          <w:rFonts w:ascii="Verdana" w:eastAsia="Times New Roman" w:hAnsi="Verdana" w:cstheme="minorHAnsi"/>
          <w:color w:val="222222"/>
          <w:lang w:val="en-GB"/>
        </w:rPr>
        <w:t>, together with the HQCJ,</w:t>
      </w:r>
      <w:r w:rsidRPr="00036A21">
        <w:rPr>
          <w:rFonts w:ascii="Verdana" w:eastAsia="Times New Roman" w:hAnsi="Verdana" w:cstheme="minorHAnsi"/>
          <w:color w:val="222222"/>
          <w:lang w:val="en-GB"/>
        </w:rPr>
        <w:t xml:space="preserve"> will also ensure appointment of the permanent </w:t>
      </w:r>
      <w:r w:rsidR="00230A64">
        <w:rPr>
          <w:rFonts w:ascii="Verdana" w:eastAsia="Times New Roman" w:hAnsi="Verdana" w:cstheme="minorHAnsi"/>
          <w:color w:val="222222"/>
          <w:lang w:val="en-GB"/>
        </w:rPr>
        <w:t>chief of staff</w:t>
      </w:r>
      <w:r w:rsidRPr="00036A21">
        <w:rPr>
          <w:rFonts w:ascii="Verdana" w:eastAsia="Times New Roman" w:hAnsi="Verdana" w:cstheme="minorHAnsi"/>
          <w:color w:val="222222"/>
          <w:lang w:val="en-GB"/>
        </w:rPr>
        <w:t xml:space="preserve"> and other non-judicial staff of HACC through competitive selection or transfer</w:t>
      </w:r>
      <w:r w:rsidR="00FD4DAD">
        <w:rPr>
          <w:rFonts w:ascii="Verdana" w:eastAsia="Times New Roman" w:hAnsi="Verdana" w:cstheme="minorHAnsi"/>
          <w:color w:val="222222"/>
          <w:lang w:val="en-GB"/>
        </w:rPr>
        <w:t xml:space="preserve"> (</w:t>
      </w:r>
      <w:r w:rsidR="00FD4DAD" w:rsidRPr="00C77EF1">
        <w:rPr>
          <w:rFonts w:ascii="Verdana" w:eastAsia="Times New Roman" w:hAnsi="Verdana" w:cstheme="minorHAnsi"/>
          <w:color w:val="222222"/>
          <w:lang w:val="en-GB"/>
        </w:rPr>
        <w:t xml:space="preserve">see </w:t>
      </w:r>
      <w:r w:rsidR="0087174A" w:rsidRPr="00C77EF1">
        <w:rPr>
          <w:rFonts w:ascii="Verdana" w:eastAsia="Times New Roman" w:hAnsi="Verdana" w:cstheme="minorHAnsi"/>
          <w:color w:val="222222"/>
          <w:lang w:val="en-GB"/>
        </w:rPr>
        <w:t>ANNEX 2</w:t>
      </w:r>
      <w:r w:rsidR="0087174A">
        <w:rPr>
          <w:rFonts w:ascii="Verdana" w:eastAsia="Times New Roman" w:hAnsi="Verdana" w:cstheme="minorHAnsi"/>
          <w:color w:val="222222"/>
          <w:lang w:val="en-GB"/>
        </w:rPr>
        <w:t>)</w:t>
      </w:r>
      <w:r w:rsidRPr="00036A21">
        <w:rPr>
          <w:rFonts w:ascii="Verdana" w:eastAsia="Times New Roman" w:hAnsi="Verdana" w:cstheme="minorHAnsi"/>
          <w:color w:val="222222"/>
          <w:lang w:val="en-GB"/>
        </w:rPr>
        <w:t>.</w:t>
      </w:r>
      <w:r w:rsidR="00D119C3">
        <w:rPr>
          <w:rFonts w:ascii="Verdana" w:eastAsia="Times New Roman" w:hAnsi="Verdana" w:cstheme="minorHAnsi"/>
          <w:color w:val="222222"/>
          <w:lang w:val="en-GB"/>
        </w:rPr>
        <w:t xml:space="preserve"> In order to str</w:t>
      </w:r>
      <w:r w:rsidR="00CE20A7">
        <w:rPr>
          <w:rFonts w:ascii="Verdana" w:eastAsia="Times New Roman" w:hAnsi="Verdana" w:cstheme="minorHAnsi"/>
          <w:color w:val="222222"/>
          <w:lang w:val="en-GB"/>
        </w:rPr>
        <w:t xml:space="preserve">eamline the work of </w:t>
      </w:r>
      <w:r w:rsidR="008649B0">
        <w:rPr>
          <w:rFonts w:ascii="Verdana" w:eastAsia="Times New Roman" w:hAnsi="Verdana" w:cstheme="minorHAnsi"/>
          <w:color w:val="222222"/>
          <w:lang w:val="en-GB"/>
        </w:rPr>
        <w:t xml:space="preserve">the </w:t>
      </w:r>
      <w:r w:rsidR="00CE20A7">
        <w:rPr>
          <w:rFonts w:ascii="Verdana" w:eastAsia="Times New Roman" w:hAnsi="Verdana" w:cstheme="minorHAnsi"/>
          <w:color w:val="222222"/>
          <w:lang w:val="en-GB"/>
        </w:rPr>
        <w:t>establishment of the HACC</w:t>
      </w:r>
      <w:r w:rsidR="0087174A">
        <w:rPr>
          <w:rFonts w:ascii="Verdana" w:eastAsia="Times New Roman" w:hAnsi="Verdana" w:cstheme="minorHAnsi"/>
          <w:color w:val="222222"/>
          <w:lang w:val="en-GB"/>
        </w:rPr>
        <w:t xml:space="preserve">, the SJA decided to establish </w:t>
      </w:r>
      <w:r w:rsidR="003053C3">
        <w:rPr>
          <w:rFonts w:ascii="Verdana" w:eastAsia="Times New Roman" w:hAnsi="Verdana" w:cstheme="minorHAnsi"/>
          <w:color w:val="222222"/>
          <w:lang w:val="en-GB"/>
        </w:rPr>
        <w:t xml:space="preserve">two </w:t>
      </w:r>
      <w:r w:rsidR="00CE20A7">
        <w:rPr>
          <w:rFonts w:ascii="Verdana" w:eastAsia="Times New Roman" w:hAnsi="Verdana" w:cstheme="minorHAnsi"/>
          <w:color w:val="222222"/>
          <w:lang w:val="en-GB"/>
        </w:rPr>
        <w:t xml:space="preserve">working groups related to </w:t>
      </w:r>
      <w:r w:rsidR="0087174A">
        <w:rPr>
          <w:rFonts w:ascii="Verdana" w:eastAsia="Times New Roman" w:hAnsi="Verdana" w:cstheme="minorHAnsi"/>
          <w:color w:val="222222"/>
          <w:lang w:val="en-GB"/>
        </w:rPr>
        <w:t xml:space="preserve">the </w:t>
      </w:r>
      <w:r w:rsidR="00CE20A7">
        <w:rPr>
          <w:rFonts w:ascii="Verdana" w:eastAsia="Times New Roman" w:hAnsi="Verdana" w:cstheme="minorHAnsi"/>
          <w:color w:val="222222"/>
          <w:lang w:val="en-GB"/>
        </w:rPr>
        <w:t xml:space="preserve">infrastructure and human resources </w:t>
      </w:r>
      <w:r w:rsidR="0087174A">
        <w:rPr>
          <w:rFonts w:ascii="Verdana" w:eastAsia="Times New Roman" w:hAnsi="Verdana" w:cstheme="minorHAnsi"/>
          <w:color w:val="222222"/>
          <w:lang w:val="en-GB"/>
        </w:rPr>
        <w:t>of the HACC</w:t>
      </w:r>
      <w:r w:rsidR="00CE20A7">
        <w:rPr>
          <w:rFonts w:ascii="Verdana" w:eastAsia="Times New Roman" w:hAnsi="Verdana" w:cstheme="minorHAnsi"/>
          <w:color w:val="222222"/>
          <w:lang w:val="en-GB"/>
        </w:rPr>
        <w:t xml:space="preserve">. International technical assistance programs, including </w:t>
      </w:r>
      <w:r w:rsidR="00811A8E">
        <w:rPr>
          <w:rFonts w:ascii="Verdana" w:eastAsia="Times New Roman" w:hAnsi="Verdana" w:cstheme="minorHAnsi"/>
          <w:color w:val="222222"/>
          <w:lang w:val="en-GB"/>
        </w:rPr>
        <w:t xml:space="preserve">the </w:t>
      </w:r>
      <w:r w:rsidR="00CE20A7">
        <w:rPr>
          <w:rFonts w:ascii="Verdana" w:eastAsia="Times New Roman" w:hAnsi="Verdana" w:cstheme="minorHAnsi"/>
          <w:color w:val="222222"/>
          <w:lang w:val="en-GB"/>
        </w:rPr>
        <w:t>EUACI, were invited to participate in the working groups</w:t>
      </w:r>
      <w:r w:rsidR="00811A8E">
        <w:rPr>
          <w:rFonts w:ascii="Verdana" w:eastAsia="Times New Roman" w:hAnsi="Verdana" w:cstheme="minorHAnsi"/>
          <w:color w:val="222222"/>
          <w:lang w:val="en-GB"/>
        </w:rPr>
        <w:t xml:space="preserve"> at the expert level</w:t>
      </w:r>
      <w:r w:rsidR="007C417A">
        <w:rPr>
          <w:rFonts w:ascii="Verdana" w:eastAsia="Times New Roman" w:hAnsi="Verdana" w:cstheme="minorHAnsi"/>
          <w:color w:val="222222"/>
          <w:lang w:val="en-GB"/>
        </w:rPr>
        <w:t>.</w:t>
      </w:r>
    </w:p>
    <w:p w:rsidR="0046405D" w:rsidRDefault="008649B0" w:rsidP="00811A8E">
      <w:pPr>
        <w:spacing w:line="240" w:lineRule="auto"/>
        <w:jc w:val="both"/>
        <w:rPr>
          <w:rFonts w:ascii="Verdana" w:hAnsi="Verdana" w:cstheme="minorHAnsi"/>
          <w:lang w:val="en-GB"/>
        </w:rPr>
      </w:pPr>
      <w:r>
        <w:rPr>
          <w:rFonts w:ascii="Verdana" w:hAnsi="Verdana" w:cstheme="minorHAnsi"/>
          <w:lang w:val="en-GB"/>
        </w:rPr>
        <w:t xml:space="preserve">With this assignment, the </w:t>
      </w:r>
      <w:r w:rsidR="0046405D" w:rsidRPr="00036A21">
        <w:rPr>
          <w:rFonts w:ascii="Verdana" w:hAnsi="Verdana" w:cstheme="minorHAnsi"/>
          <w:lang w:val="en-GB"/>
        </w:rPr>
        <w:t xml:space="preserve">EUACI </w:t>
      </w:r>
      <w:r>
        <w:rPr>
          <w:rFonts w:ascii="Verdana" w:hAnsi="Verdana" w:cstheme="minorHAnsi"/>
          <w:lang w:val="en-GB"/>
        </w:rPr>
        <w:t>aims to</w:t>
      </w:r>
      <w:r w:rsidR="0046405D" w:rsidRPr="00036A21">
        <w:rPr>
          <w:rFonts w:ascii="Verdana" w:hAnsi="Verdana" w:cstheme="minorHAnsi"/>
          <w:lang w:val="en-GB"/>
        </w:rPr>
        <w:t xml:space="preserve"> provide technical assistance to the SJA</w:t>
      </w:r>
      <w:r w:rsidR="0087174A">
        <w:rPr>
          <w:rFonts w:ascii="Verdana" w:hAnsi="Verdana" w:cstheme="minorHAnsi"/>
          <w:lang w:val="en-GB"/>
        </w:rPr>
        <w:t xml:space="preserve">, </w:t>
      </w:r>
      <w:r w:rsidR="0046405D" w:rsidRPr="00036A21">
        <w:rPr>
          <w:rFonts w:ascii="Verdana" w:hAnsi="Verdana" w:cstheme="minorHAnsi"/>
          <w:lang w:val="en-GB"/>
        </w:rPr>
        <w:t>the temporary</w:t>
      </w:r>
      <w:r w:rsidR="00CD6FA0">
        <w:rPr>
          <w:rFonts w:ascii="Verdana" w:hAnsi="Verdana" w:cstheme="minorHAnsi"/>
          <w:lang w:val="en-GB"/>
        </w:rPr>
        <w:t xml:space="preserve"> and </w:t>
      </w:r>
      <w:bookmarkStart w:id="2" w:name="_Hlk1138364"/>
      <w:r w:rsidR="00CD6FA0">
        <w:rPr>
          <w:rFonts w:ascii="Verdana" w:hAnsi="Verdana" w:cstheme="minorHAnsi"/>
          <w:lang w:val="en-GB"/>
        </w:rPr>
        <w:t>permanent</w:t>
      </w:r>
      <w:bookmarkEnd w:id="2"/>
      <w:r w:rsidR="0046405D" w:rsidRPr="00036A21">
        <w:rPr>
          <w:rFonts w:ascii="Verdana" w:hAnsi="Verdana" w:cstheme="minorHAnsi"/>
          <w:lang w:val="en-GB"/>
        </w:rPr>
        <w:t xml:space="preserve"> </w:t>
      </w:r>
      <w:r w:rsidR="00230A64">
        <w:rPr>
          <w:rFonts w:ascii="Verdana" w:hAnsi="Verdana" w:cstheme="minorHAnsi"/>
          <w:lang w:val="en-GB"/>
        </w:rPr>
        <w:t>chief of staff</w:t>
      </w:r>
      <w:r w:rsidR="0046405D" w:rsidRPr="00036A21">
        <w:rPr>
          <w:rFonts w:ascii="Verdana" w:hAnsi="Verdana" w:cstheme="minorHAnsi"/>
          <w:lang w:val="en-GB"/>
        </w:rPr>
        <w:t xml:space="preserve"> of the HACC </w:t>
      </w:r>
      <w:r w:rsidR="0087174A">
        <w:rPr>
          <w:rFonts w:ascii="Verdana" w:hAnsi="Verdana" w:cstheme="minorHAnsi"/>
          <w:lang w:val="en-GB"/>
        </w:rPr>
        <w:t>a</w:t>
      </w:r>
      <w:r w:rsidR="00A778DE">
        <w:rPr>
          <w:rFonts w:ascii="Verdana" w:hAnsi="Verdana" w:cstheme="minorHAnsi"/>
          <w:lang w:val="en-GB"/>
        </w:rPr>
        <w:t>s well as</w:t>
      </w:r>
      <w:r w:rsidR="0087174A">
        <w:rPr>
          <w:rFonts w:ascii="Verdana" w:hAnsi="Verdana" w:cstheme="minorHAnsi"/>
          <w:lang w:val="en-GB"/>
        </w:rPr>
        <w:t xml:space="preserve"> the established </w:t>
      </w:r>
      <w:r w:rsidR="002E6F01">
        <w:rPr>
          <w:rFonts w:ascii="Verdana" w:hAnsi="Verdana" w:cstheme="minorHAnsi"/>
          <w:lang w:val="en-GB"/>
        </w:rPr>
        <w:t xml:space="preserve">working groups </w:t>
      </w:r>
      <w:bookmarkStart w:id="3" w:name="_Hlk1138387"/>
      <w:r w:rsidR="007C417A">
        <w:rPr>
          <w:rFonts w:ascii="Verdana" w:hAnsi="Verdana" w:cstheme="minorHAnsi"/>
          <w:lang w:val="en-GB"/>
        </w:rPr>
        <w:t xml:space="preserve">through legal and subject matter expertise </w:t>
      </w:r>
      <w:r w:rsidR="0046405D" w:rsidRPr="00036A21">
        <w:rPr>
          <w:rFonts w:ascii="Verdana" w:hAnsi="Verdana" w:cstheme="minorHAnsi"/>
          <w:lang w:val="en-GB"/>
        </w:rPr>
        <w:t xml:space="preserve">during the preparatory and transitional phase of the establishment of the HACC. </w:t>
      </w:r>
      <w:bookmarkStart w:id="4" w:name="_Hlk1138417"/>
      <w:bookmarkEnd w:id="3"/>
      <w:r w:rsidR="007A738D">
        <w:rPr>
          <w:rFonts w:ascii="Verdana" w:hAnsi="Verdana" w:cstheme="minorHAnsi"/>
          <w:lang w:val="en-GB"/>
        </w:rPr>
        <w:t>T</w:t>
      </w:r>
      <w:r w:rsidR="00580189">
        <w:rPr>
          <w:rFonts w:ascii="Verdana" w:hAnsi="Verdana" w:cstheme="minorHAnsi"/>
          <w:lang w:val="en-GB"/>
        </w:rPr>
        <w:t>he activities include assistance</w:t>
      </w:r>
      <w:r w:rsidR="0046405D" w:rsidRPr="00036A21">
        <w:rPr>
          <w:rFonts w:ascii="Verdana" w:hAnsi="Verdana" w:cstheme="minorHAnsi"/>
          <w:lang w:val="en-GB"/>
        </w:rPr>
        <w:t xml:space="preserve"> at the strategic level concerning the overall operational </w:t>
      </w:r>
      <w:bookmarkStart w:id="5" w:name="_Hlk1138486"/>
      <w:r w:rsidR="0046405D" w:rsidRPr="00036A21">
        <w:rPr>
          <w:rFonts w:ascii="Verdana" w:hAnsi="Verdana" w:cstheme="minorHAnsi"/>
          <w:lang w:val="en-GB"/>
        </w:rPr>
        <w:t xml:space="preserve">planning for establishing the HACC as well as specific thematic issues which are of importance for the sustainable functioning of the HACC, including legal matters, human resources development, strategic communications, IT, </w:t>
      </w:r>
      <w:r w:rsidR="0087174A">
        <w:rPr>
          <w:rFonts w:ascii="Verdana" w:hAnsi="Verdana" w:cstheme="minorHAnsi"/>
          <w:lang w:val="en-GB"/>
        </w:rPr>
        <w:t xml:space="preserve">infrastructure </w:t>
      </w:r>
      <w:r w:rsidR="0046405D" w:rsidRPr="00036A21">
        <w:rPr>
          <w:rFonts w:ascii="Verdana" w:hAnsi="Verdana" w:cstheme="minorHAnsi"/>
          <w:lang w:val="en-GB"/>
        </w:rPr>
        <w:t xml:space="preserve">and court security. </w:t>
      </w:r>
      <w:bookmarkEnd w:id="4"/>
      <w:r w:rsidR="0046405D" w:rsidRPr="00036A21">
        <w:rPr>
          <w:rFonts w:ascii="Verdana" w:hAnsi="Verdana" w:cstheme="minorHAnsi"/>
          <w:lang w:val="en-GB"/>
        </w:rPr>
        <w:t>T</w:t>
      </w:r>
      <w:r w:rsidR="00A778DE">
        <w:rPr>
          <w:rFonts w:ascii="Verdana" w:hAnsi="Verdana" w:cstheme="minorHAnsi"/>
          <w:lang w:val="en-GB"/>
        </w:rPr>
        <w:t xml:space="preserve">o this end, </w:t>
      </w:r>
      <w:r w:rsidR="0091567B" w:rsidRPr="0091567B">
        <w:rPr>
          <w:rFonts w:ascii="Verdana" w:hAnsi="Verdana" w:cstheme="minorHAnsi"/>
          <w:lang w:val="en-GB"/>
        </w:rPr>
        <w:t>the EUACI assisted in the establishment of the HACC Support Group in 2018</w:t>
      </w:r>
      <w:r w:rsidR="00D46D1D">
        <w:rPr>
          <w:rFonts w:ascii="Verdana" w:hAnsi="Verdana" w:cstheme="minorHAnsi"/>
          <w:lang w:val="en-GB"/>
        </w:rPr>
        <w:t>, a</w:t>
      </w:r>
      <w:r w:rsidR="0091567B" w:rsidRPr="0091567B">
        <w:rPr>
          <w:rFonts w:ascii="Verdana" w:hAnsi="Verdana" w:cstheme="minorHAnsi"/>
          <w:lang w:val="en-GB"/>
        </w:rPr>
        <w:t xml:space="preserve"> group of key </w:t>
      </w:r>
      <w:r w:rsidR="007C417A">
        <w:rPr>
          <w:rFonts w:ascii="Verdana" w:hAnsi="Verdana" w:cstheme="minorHAnsi"/>
          <w:lang w:val="en-GB"/>
        </w:rPr>
        <w:t xml:space="preserve">national and international </w:t>
      </w:r>
      <w:r w:rsidR="0091567B" w:rsidRPr="0091567B">
        <w:rPr>
          <w:rFonts w:ascii="Verdana" w:hAnsi="Verdana" w:cstheme="minorHAnsi"/>
          <w:lang w:val="en-GB"/>
        </w:rPr>
        <w:t xml:space="preserve">stakeholders that </w:t>
      </w:r>
      <w:r w:rsidR="00120559">
        <w:rPr>
          <w:rFonts w:ascii="Verdana" w:hAnsi="Verdana" w:cstheme="minorHAnsi"/>
          <w:lang w:val="en-GB"/>
        </w:rPr>
        <w:t xml:space="preserve">assisted </w:t>
      </w:r>
      <w:r w:rsidR="0091567B" w:rsidRPr="0091567B">
        <w:rPr>
          <w:rFonts w:ascii="Verdana" w:hAnsi="Verdana" w:cstheme="minorHAnsi"/>
          <w:lang w:val="en-GB"/>
        </w:rPr>
        <w:t xml:space="preserve">the SJA </w:t>
      </w:r>
      <w:r w:rsidR="00580189">
        <w:rPr>
          <w:rFonts w:ascii="Verdana" w:hAnsi="Verdana" w:cstheme="minorHAnsi"/>
          <w:lang w:val="en-GB"/>
        </w:rPr>
        <w:t xml:space="preserve">to </w:t>
      </w:r>
      <w:r w:rsidR="0091567B" w:rsidRPr="0091567B">
        <w:rPr>
          <w:rFonts w:ascii="Verdana" w:hAnsi="Verdana" w:cstheme="minorHAnsi"/>
          <w:lang w:val="en-GB"/>
        </w:rPr>
        <w:t xml:space="preserve">prepare </w:t>
      </w:r>
      <w:r w:rsidR="00D46D1D">
        <w:rPr>
          <w:rFonts w:ascii="Verdana" w:hAnsi="Verdana" w:cstheme="minorHAnsi"/>
          <w:lang w:val="en-GB"/>
        </w:rPr>
        <w:t>the</w:t>
      </w:r>
      <w:r w:rsidR="0091567B" w:rsidRPr="0091567B">
        <w:rPr>
          <w:rFonts w:ascii="Verdana" w:hAnsi="Verdana" w:cstheme="minorHAnsi"/>
          <w:lang w:val="en-GB"/>
        </w:rPr>
        <w:t xml:space="preserve"> Roadmap for the establishment of the HACC (Annex 3).</w:t>
      </w:r>
      <w:r w:rsidR="00D46D1D">
        <w:rPr>
          <w:rFonts w:ascii="Verdana" w:hAnsi="Verdana" w:cstheme="minorHAnsi"/>
          <w:lang w:val="en-GB"/>
        </w:rPr>
        <w:t xml:space="preserve"> </w:t>
      </w:r>
      <w:r w:rsidR="00A778DE">
        <w:rPr>
          <w:rFonts w:ascii="Verdana" w:hAnsi="Verdana" w:cstheme="minorHAnsi"/>
          <w:lang w:val="en-GB"/>
        </w:rPr>
        <w:t xml:space="preserve">It is envisaged to continue </w:t>
      </w:r>
      <w:r w:rsidR="00811A8E">
        <w:rPr>
          <w:rFonts w:ascii="Verdana" w:hAnsi="Verdana" w:cstheme="minorHAnsi"/>
          <w:lang w:val="en-GB"/>
        </w:rPr>
        <w:t xml:space="preserve">with </w:t>
      </w:r>
      <w:r w:rsidR="00A778DE">
        <w:rPr>
          <w:rFonts w:ascii="Verdana" w:hAnsi="Verdana" w:cstheme="minorHAnsi"/>
          <w:lang w:val="en-GB"/>
        </w:rPr>
        <w:t>technical assistance t</w:t>
      </w:r>
      <w:r w:rsidR="00811A8E">
        <w:rPr>
          <w:rFonts w:ascii="Verdana" w:hAnsi="Verdana" w:cstheme="minorHAnsi"/>
          <w:lang w:val="en-GB"/>
        </w:rPr>
        <w:t>o this</w:t>
      </w:r>
      <w:r w:rsidR="002E6F01">
        <w:rPr>
          <w:rFonts w:ascii="Verdana" w:hAnsi="Verdana" w:cstheme="minorHAnsi"/>
          <w:lang w:val="en-GB"/>
        </w:rPr>
        <w:t xml:space="preserve"> process</w:t>
      </w:r>
      <w:r w:rsidR="00811A8E">
        <w:rPr>
          <w:rFonts w:ascii="Verdana" w:hAnsi="Verdana" w:cstheme="minorHAnsi"/>
          <w:lang w:val="en-GB"/>
        </w:rPr>
        <w:t xml:space="preserve"> </w:t>
      </w:r>
      <w:r w:rsidR="002E6F01">
        <w:rPr>
          <w:rFonts w:ascii="Verdana" w:hAnsi="Verdana" w:cstheme="minorHAnsi"/>
          <w:lang w:val="en-GB"/>
        </w:rPr>
        <w:t xml:space="preserve">to ensure that the national counterparts have </w:t>
      </w:r>
      <w:r w:rsidR="0091567B" w:rsidRPr="0091567B">
        <w:rPr>
          <w:rFonts w:ascii="Verdana" w:hAnsi="Verdana" w:cstheme="minorHAnsi"/>
          <w:lang w:val="en-GB"/>
        </w:rPr>
        <w:t>access to the technical assistance needed for the successful implementation of the HACC Roadmap.</w:t>
      </w:r>
      <w:r w:rsidR="00D46D1D" w:rsidRPr="00D46D1D">
        <w:rPr>
          <w:rFonts w:ascii="Verdana" w:hAnsi="Verdana" w:cstheme="minorHAnsi"/>
          <w:lang w:val="en-GB"/>
        </w:rPr>
        <w:t xml:space="preserve"> Given the scope of </w:t>
      </w:r>
      <w:r w:rsidR="00135BFA">
        <w:rPr>
          <w:rFonts w:ascii="Verdana" w:hAnsi="Verdana" w:cstheme="minorHAnsi"/>
          <w:lang w:val="en-GB"/>
        </w:rPr>
        <w:t xml:space="preserve">the </w:t>
      </w:r>
      <w:r w:rsidR="00D46D1D">
        <w:rPr>
          <w:rFonts w:ascii="Verdana" w:hAnsi="Verdana" w:cstheme="minorHAnsi"/>
          <w:lang w:val="en-GB"/>
        </w:rPr>
        <w:t xml:space="preserve">required </w:t>
      </w:r>
      <w:r w:rsidR="00D46D1D" w:rsidRPr="00D46D1D">
        <w:rPr>
          <w:rFonts w:ascii="Verdana" w:hAnsi="Verdana" w:cstheme="minorHAnsi"/>
          <w:lang w:val="en-GB"/>
        </w:rPr>
        <w:t xml:space="preserve">support </w:t>
      </w:r>
      <w:r w:rsidR="00120559">
        <w:rPr>
          <w:rFonts w:ascii="Verdana" w:hAnsi="Verdana" w:cstheme="minorHAnsi"/>
          <w:lang w:val="en-GB"/>
        </w:rPr>
        <w:t>for</w:t>
      </w:r>
      <w:r w:rsidR="00D46D1D">
        <w:rPr>
          <w:rFonts w:ascii="Verdana" w:hAnsi="Verdana" w:cstheme="minorHAnsi"/>
          <w:lang w:val="en-GB"/>
        </w:rPr>
        <w:t xml:space="preserve"> </w:t>
      </w:r>
      <w:r w:rsidR="00580189">
        <w:rPr>
          <w:rFonts w:ascii="Verdana" w:hAnsi="Verdana" w:cstheme="minorHAnsi"/>
          <w:lang w:val="en-GB"/>
        </w:rPr>
        <w:t xml:space="preserve">the </w:t>
      </w:r>
      <w:r w:rsidR="00135BFA">
        <w:rPr>
          <w:rFonts w:ascii="Verdana" w:hAnsi="Verdana" w:cstheme="minorHAnsi"/>
          <w:lang w:val="en-GB"/>
        </w:rPr>
        <w:t>different</w:t>
      </w:r>
      <w:r w:rsidR="00D46D1D">
        <w:rPr>
          <w:rFonts w:ascii="Verdana" w:hAnsi="Verdana" w:cstheme="minorHAnsi"/>
          <w:lang w:val="en-GB"/>
        </w:rPr>
        <w:t xml:space="preserve"> areas </w:t>
      </w:r>
      <w:r w:rsidR="00135BFA">
        <w:rPr>
          <w:rFonts w:ascii="Verdana" w:hAnsi="Verdana" w:cstheme="minorHAnsi"/>
          <w:lang w:val="en-GB"/>
        </w:rPr>
        <w:t>outlined</w:t>
      </w:r>
      <w:r w:rsidR="00D46D1D">
        <w:rPr>
          <w:rFonts w:ascii="Verdana" w:hAnsi="Verdana" w:cstheme="minorHAnsi"/>
          <w:lang w:val="en-GB"/>
        </w:rPr>
        <w:t xml:space="preserve"> above as well as the ambitious timeframe</w:t>
      </w:r>
      <w:r w:rsidR="007235AE">
        <w:rPr>
          <w:rFonts w:ascii="Verdana" w:hAnsi="Verdana" w:cstheme="minorHAnsi"/>
          <w:lang w:val="en-GB"/>
        </w:rPr>
        <w:t xml:space="preserve"> for establishing the HACC</w:t>
      </w:r>
      <w:r w:rsidR="00D46D1D">
        <w:rPr>
          <w:rFonts w:ascii="Verdana" w:hAnsi="Verdana" w:cstheme="minorHAnsi"/>
          <w:lang w:val="en-GB"/>
        </w:rPr>
        <w:t>, the processes will be implemented through parallel tracks. Therefore, t</w:t>
      </w:r>
      <w:r w:rsidR="007C6ED1">
        <w:rPr>
          <w:rFonts w:ascii="Verdana" w:hAnsi="Verdana" w:cstheme="minorHAnsi"/>
          <w:lang w:val="en-GB"/>
        </w:rPr>
        <w:t xml:space="preserve">he EUACI envisages </w:t>
      </w:r>
      <w:r w:rsidR="00120559">
        <w:rPr>
          <w:rFonts w:ascii="Verdana" w:hAnsi="Verdana" w:cstheme="minorHAnsi"/>
          <w:lang w:val="en-GB"/>
        </w:rPr>
        <w:t>recruiting</w:t>
      </w:r>
      <w:r w:rsidR="00AE4C55">
        <w:rPr>
          <w:rFonts w:ascii="Verdana" w:hAnsi="Verdana" w:cstheme="minorHAnsi"/>
          <w:lang w:val="en-GB"/>
        </w:rPr>
        <w:t xml:space="preserve"> two</w:t>
      </w:r>
      <w:r w:rsidR="007C6ED1">
        <w:rPr>
          <w:rFonts w:ascii="Verdana" w:hAnsi="Verdana" w:cstheme="minorHAnsi"/>
          <w:lang w:val="en-GB"/>
        </w:rPr>
        <w:t xml:space="preserve"> </w:t>
      </w:r>
      <w:bookmarkEnd w:id="5"/>
      <w:r w:rsidR="00580189">
        <w:rPr>
          <w:rFonts w:ascii="Verdana" w:hAnsi="Verdana" w:cstheme="minorHAnsi"/>
          <w:lang w:val="en-GB"/>
        </w:rPr>
        <w:t>legal experts</w:t>
      </w:r>
      <w:r w:rsidR="00811A8E">
        <w:rPr>
          <w:rFonts w:ascii="Verdana" w:hAnsi="Verdana" w:cstheme="minorHAnsi"/>
          <w:lang w:val="en-GB"/>
        </w:rPr>
        <w:t xml:space="preserve"> </w:t>
      </w:r>
      <w:r w:rsidR="00D46D1D">
        <w:rPr>
          <w:rFonts w:ascii="Verdana" w:hAnsi="Verdana" w:cstheme="minorHAnsi"/>
          <w:lang w:val="en-GB"/>
        </w:rPr>
        <w:t>to</w:t>
      </w:r>
      <w:r w:rsidR="00811A8E">
        <w:rPr>
          <w:rFonts w:ascii="Verdana" w:hAnsi="Verdana" w:cstheme="minorHAnsi"/>
          <w:lang w:val="en-GB"/>
        </w:rPr>
        <w:t xml:space="preserve"> </w:t>
      </w:r>
      <w:r w:rsidR="00BB75E2">
        <w:rPr>
          <w:rFonts w:ascii="Verdana" w:hAnsi="Verdana" w:cstheme="minorHAnsi"/>
          <w:lang w:val="en-GB"/>
        </w:rPr>
        <w:t>support</w:t>
      </w:r>
      <w:r w:rsidR="00D46D1D">
        <w:rPr>
          <w:rFonts w:ascii="Verdana" w:hAnsi="Verdana" w:cstheme="minorHAnsi"/>
          <w:lang w:val="en-GB"/>
        </w:rPr>
        <w:t xml:space="preserve"> the </w:t>
      </w:r>
      <w:r w:rsidR="00120559">
        <w:rPr>
          <w:rFonts w:ascii="Verdana" w:hAnsi="Verdana" w:cstheme="minorHAnsi"/>
          <w:lang w:val="en-GB"/>
        </w:rPr>
        <w:t xml:space="preserve">team of the </w:t>
      </w:r>
      <w:r w:rsidR="00D46D1D">
        <w:rPr>
          <w:rFonts w:ascii="Verdana" w:hAnsi="Verdana" w:cstheme="minorHAnsi"/>
          <w:lang w:val="en-GB"/>
        </w:rPr>
        <w:t>HACC Support Group and the re</w:t>
      </w:r>
      <w:r w:rsidR="00580189">
        <w:rPr>
          <w:rFonts w:ascii="Verdana" w:hAnsi="Verdana" w:cstheme="minorHAnsi"/>
          <w:lang w:val="en-GB"/>
        </w:rPr>
        <w:t>lated implementation processes.</w:t>
      </w:r>
    </w:p>
    <w:p w:rsidR="0083010D" w:rsidRPr="00036A21" w:rsidRDefault="009B1E3B" w:rsidP="00033769">
      <w:pPr>
        <w:pStyle w:val="ListParagraph"/>
        <w:numPr>
          <w:ilvl w:val="0"/>
          <w:numId w:val="5"/>
        </w:numPr>
        <w:jc w:val="both"/>
        <w:rPr>
          <w:rFonts w:ascii="Verdana" w:hAnsi="Verdana" w:cstheme="minorHAnsi"/>
          <w:b/>
          <w:sz w:val="22"/>
          <w:szCs w:val="22"/>
        </w:rPr>
      </w:pPr>
      <w:r w:rsidRPr="00036A21">
        <w:rPr>
          <w:rFonts w:ascii="Verdana" w:hAnsi="Verdana" w:cstheme="minorHAnsi"/>
          <w:b/>
          <w:sz w:val="22"/>
          <w:szCs w:val="22"/>
        </w:rPr>
        <w:t xml:space="preserve">Objectives </w:t>
      </w:r>
    </w:p>
    <w:p w:rsidR="0083010D" w:rsidRPr="00036A21" w:rsidRDefault="0083010D" w:rsidP="00033769">
      <w:pPr>
        <w:pStyle w:val="ListParagraph"/>
        <w:jc w:val="both"/>
        <w:rPr>
          <w:rFonts w:ascii="Verdana" w:hAnsi="Verdana" w:cstheme="minorHAnsi"/>
          <w:b/>
          <w:sz w:val="22"/>
          <w:szCs w:val="22"/>
        </w:rPr>
      </w:pPr>
    </w:p>
    <w:p w:rsidR="007A738D" w:rsidRDefault="0091567B" w:rsidP="00033769">
      <w:pPr>
        <w:spacing w:line="240" w:lineRule="auto"/>
        <w:jc w:val="both"/>
        <w:rPr>
          <w:rFonts w:ascii="Verdana" w:hAnsi="Verdana" w:cstheme="minorHAnsi"/>
          <w:lang w:val="en-GB"/>
        </w:rPr>
      </w:pPr>
      <w:r w:rsidRPr="0091567B">
        <w:rPr>
          <w:rFonts w:ascii="Verdana" w:hAnsi="Verdana" w:cstheme="minorHAnsi"/>
          <w:lang w:val="en-GB"/>
        </w:rPr>
        <w:t>The objective of the assignment is to contribute to the establishment of a fully functional HACC. The assignment will contribute towards this end by ensuring that key national counterparts and the wider HACC Support Group have access to the technical assistance necessary to implement differe</w:t>
      </w:r>
      <w:r>
        <w:rPr>
          <w:rFonts w:ascii="Verdana" w:hAnsi="Verdana" w:cstheme="minorHAnsi"/>
          <w:lang w:val="en-GB"/>
        </w:rPr>
        <w:t>nt aspects of the HACC Roadmap.</w:t>
      </w:r>
    </w:p>
    <w:p w:rsidR="00120559" w:rsidRDefault="00120559" w:rsidP="00033769">
      <w:pPr>
        <w:spacing w:line="240" w:lineRule="auto"/>
        <w:jc w:val="both"/>
        <w:rPr>
          <w:rFonts w:ascii="Verdana" w:hAnsi="Verdana" w:cstheme="minorHAnsi"/>
          <w:lang w:val="en-GB"/>
        </w:rPr>
      </w:pPr>
    </w:p>
    <w:bookmarkEnd w:id="1"/>
    <w:p w:rsidR="00FA3ACF" w:rsidRPr="00036A21" w:rsidRDefault="004D3F53" w:rsidP="00033769">
      <w:pPr>
        <w:pStyle w:val="ListParagraph"/>
        <w:numPr>
          <w:ilvl w:val="0"/>
          <w:numId w:val="5"/>
        </w:numPr>
        <w:tabs>
          <w:tab w:val="left" w:pos="368"/>
        </w:tabs>
        <w:jc w:val="both"/>
        <w:rPr>
          <w:rFonts w:ascii="Verdana" w:hAnsi="Verdana" w:cstheme="minorHAnsi"/>
          <w:b/>
          <w:sz w:val="22"/>
          <w:szCs w:val="22"/>
        </w:rPr>
      </w:pPr>
      <w:r>
        <w:rPr>
          <w:rFonts w:ascii="Verdana" w:hAnsi="Verdana" w:cstheme="minorHAnsi"/>
          <w:b/>
          <w:sz w:val="22"/>
          <w:szCs w:val="22"/>
        </w:rPr>
        <w:t>Scope of work and expected</w:t>
      </w:r>
      <w:r w:rsidR="0083010D" w:rsidRPr="00036A21">
        <w:rPr>
          <w:rFonts w:ascii="Verdana" w:hAnsi="Verdana" w:cstheme="minorHAnsi"/>
          <w:b/>
          <w:sz w:val="22"/>
          <w:szCs w:val="22"/>
        </w:rPr>
        <w:t xml:space="preserve"> </w:t>
      </w:r>
      <w:r w:rsidR="00CC0FE9">
        <w:rPr>
          <w:rFonts w:ascii="Verdana" w:hAnsi="Verdana" w:cstheme="minorHAnsi"/>
          <w:b/>
          <w:sz w:val="22"/>
          <w:szCs w:val="22"/>
        </w:rPr>
        <w:t>deliverables</w:t>
      </w:r>
    </w:p>
    <w:p w:rsidR="00591D10" w:rsidRPr="00036A21" w:rsidRDefault="00591D10" w:rsidP="00033769">
      <w:pPr>
        <w:pStyle w:val="ListParagraph"/>
        <w:tabs>
          <w:tab w:val="left" w:pos="368"/>
        </w:tabs>
        <w:jc w:val="both"/>
        <w:rPr>
          <w:rFonts w:ascii="Verdana" w:hAnsi="Verdana" w:cstheme="minorHAnsi"/>
          <w:b/>
          <w:sz w:val="22"/>
          <w:szCs w:val="22"/>
        </w:rPr>
      </w:pPr>
    </w:p>
    <w:p w:rsidR="004D3F53" w:rsidRPr="00D82F51" w:rsidRDefault="004D3F53" w:rsidP="004D3F53">
      <w:pPr>
        <w:pStyle w:val="ListParagraph"/>
        <w:numPr>
          <w:ilvl w:val="0"/>
          <w:numId w:val="11"/>
        </w:numPr>
        <w:tabs>
          <w:tab w:val="left" w:pos="368"/>
        </w:tabs>
        <w:jc w:val="both"/>
        <w:rPr>
          <w:rFonts w:ascii="Verdana" w:hAnsi="Verdana" w:cs="Times New Roman"/>
          <w:sz w:val="22"/>
          <w:lang w:val="en-US"/>
        </w:rPr>
      </w:pPr>
      <w:r w:rsidRPr="00D82F51">
        <w:rPr>
          <w:rFonts w:ascii="Verdana" w:hAnsi="Verdana" w:cs="Times New Roman"/>
          <w:sz w:val="22"/>
          <w:lang w:val="en-US"/>
        </w:rPr>
        <w:t>Scope of work</w:t>
      </w:r>
    </w:p>
    <w:p w:rsidR="004D3F53" w:rsidRPr="004D3F53" w:rsidRDefault="004D3F53" w:rsidP="004D3F53">
      <w:pPr>
        <w:pStyle w:val="ListParagraph"/>
        <w:tabs>
          <w:tab w:val="left" w:pos="368"/>
        </w:tabs>
        <w:jc w:val="both"/>
        <w:rPr>
          <w:rFonts w:ascii="Verdana" w:hAnsi="Verdana" w:cs="Times New Roman"/>
          <w:lang w:val="en-US"/>
        </w:rPr>
      </w:pPr>
    </w:p>
    <w:p w:rsidR="00CC0FE9" w:rsidRDefault="00AF3B00" w:rsidP="00033769">
      <w:pPr>
        <w:tabs>
          <w:tab w:val="left" w:pos="368"/>
        </w:tabs>
        <w:spacing w:after="0" w:line="240" w:lineRule="auto"/>
        <w:jc w:val="both"/>
        <w:rPr>
          <w:rFonts w:ascii="Verdana" w:hAnsi="Verdana" w:cs="Times New Roman"/>
          <w:lang w:val="en-US"/>
        </w:rPr>
      </w:pPr>
      <w:r w:rsidRPr="00036A21">
        <w:rPr>
          <w:rFonts w:ascii="Verdana" w:hAnsi="Verdana" w:cs="Times New Roman"/>
          <w:lang w:val="en-US"/>
        </w:rPr>
        <w:t xml:space="preserve">The </w:t>
      </w:r>
      <w:r w:rsidR="004D3F53">
        <w:rPr>
          <w:rFonts w:ascii="Verdana" w:hAnsi="Verdana" w:cs="Times New Roman"/>
          <w:lang w:val="en-US"/>
        </w:rPr>
        <w:t>scope of work</w:t>
      </w:r>
      <w:r w:rsidRPr="00036A21">
        <w:rPr>
          <w:rFonts w:ascii="Verdana" w:hAnsi="Verdana" w:cs="Times New Roman"/>
          <w:lang w:val="en-US"/>
        </w:rPr>
        <w:t xml:space="preserve"> of the </w:t>
      </w:r>
      <w:r w:rsidR="007A738D">
        <w:rPr>
          <w:rFonts w:ascii="Verdana" w:hAnsi="Verdana" w:cs="Times New Roman"/>
          <w:lang w:val="en-US"/>
        </w:rPr>
        <w:t>legal experts</w:t>
      </w:r>
      <w:r w:rsidR="004D3F53">
        <w:rPr>
          <w:rFonts w:ascii="Verdana" w:hAnsi="Verdana" w:cs="Times New Roman"/>
          <w:lang w:val="en-US"/>
        </w:rPr>
        <w:t xml:space="preserve"> </w:t>
      </w:r>
      <w:r w:rsidRPr="00036A21">
        <w:rPr>
          <w:rFonts w:ascii="Verdana" w:hAnsi="Verdana" w:cs="Times New Roman"/>
          <w:lang w:val="en-US"/>
        </w:rPr>
        <w:t>shall include, but not necessarily be limited, to the following:</w:t>
      </w:r>
    </w:p>
    <w:p w:rsidR="00CC0FE9" w:rsidRDefault="00CC0FE9" w:rsidP="00033769">
      <w:pPr>
        <w:tabs>
          <w:tab w:val="left" w:pos="368"/>
        </w:tabs>
        <w:spacing w:after="0" w:line="240" w:lineRule="auto"/>
        <w:jc w:val="both"/>
        <w:rPr>
          <w:rFonts w:ascii="Verdana" w:hAnsi="Verdana" w:cs="Times New Roman"/>
          <w:lang w:val="en-US"/>
        </w:rPr>
      </w:pPr>
    </w:p>
    <w:p w:rsidR="007235AE" w:rsidRPr="007235AE" w:rsidRDefault="007A738D" w:rsidP="007235AE">
      <w:pPr>
        <w:pStyle w:val="ListParagraph"/>
        <w:numPr>
          <w:ilvl w:val="0"/>
          <w:numId w:val="9"/>
        </w:numPr>
        <w:tabs>
          <w:tab w:val="left" w:pos="368"/>
        </w:tabs>
        <w:jc w:val="both"/>
        <w:rPr>
          <w:rFonts w:ascii="Verdana" w:hAnsi="Verdana" w:cs="Times New Roman"/>
          <w:sz w:val="22"/>
          <w:szCs w:val="22"/>
          <w:lang w:val="en-US"/>
        </w:rPr>
      </w:pPr>
      <w:r>
        <w:rPr>
          <w:rFonts w:ascii="Verdana" w:hAnsi="Verdana" w:cs="Times New Roman"/>
          <w:sz w:val="22"/>
          <w:szCs w:val="22"/>
          <w:lang w:val="en-US"/>
        </w:rPr>
        <w:lastRenderedPageBreak/>
        <w:t>Legal</w:t>
      </w:r>
      <w:r w:rsidR="00AA40A6">
        <w:rPr>
          <w:rFonts w:ascii="Verdana" w:hAnsi="Verdana" w:cs="Times New Roman"/>
          <w:sz w:val="22"/>
          <w:szCs w:val="22"/>
          <w:lang w:val="en-US"/>
        </w:rPr>
        <w:t xml:space="preserve"> </w:t>
      </w:r>
      <w:r w:rsidR="00756268">
        <w:rPr>
          <w:rFonts w:ascii="Verdana" w:hAnsi="Verdana" w:cs="Times New Roman"/>
          <w:sz w:val="22"/>
          <w:szCs w:val="22"/>
          <w:lang w:val="en-US"/>
        </w:rPr>
        <w:t xml:space="preserve">research </w:t>
      </w:r>
      <w:r w:rsidR="00AA40A6">
        <w:rPr>
          <w:rFonts w:ascii="Verdana" w:hAnsi="Verdana" w:cs="Times New Roman"/>
          <w:sz w:val="22"/>
          <w:szCs w:val="22"/>
          <w:lang w:val="en-US"/>
        </w:rPr>
        <w:t>and technical</w:t>
      </w:r>
      <w:r w:rsidR="00E63091" w:rsidRPr="008649B0">
        <w:rPr>
          <w:rFonts w:ascii="Verdana" w:hAnsi="Verdana" w:cs="Times New Roman"/>
          <w:sz w:val="22"/>
          <w:szCs w:val="22"/>
          <w:lang w:val="en-US"/>
        </w:rPr>
        <w:t xml:space="preserve"> </w:t>
      </w:r>
      <w:proofErr w:type="spellStart"/>
      <w:r w:rsidR="00E63091" w:rsidRPr="008649B0">
        <w:rPr>
          <w:rFonts w:ascii="Verdana" w:hAnsi="Verdana" w:cs="Times New Roman"/>
          <w:sz w:val="22"/>
          <w:szCs w:val="22"/>
          <w:lang w:val="en-US"/>
        </w:rPr>
        <w:t>advise</w:t>
      </w:r>
      <w:proofErr w:type="spellEnd"/>
      <w:r w:rsidR="00E63091" w:rsidRPr="008649B0">
        <w:rPr>
          <w:rFonts w:ascii="Verdana" w:hAnsi="Verdana" w:cs="Times New Roman"/>
          <w:sz w:val="22"/>
          <w:szCs w:val="22"/>
          <w:lang w:val="en-US"/>
        </w:rPr>
        <w:t xml:space="preserve"> to the </w:t>
      </w:r>
      <w:r w:rsidR="00D52713" w:rsidRPr="008649B0">
        <w:rPr>
          <w:rFonts w:ascii="Verdana" w:hAnsi="Verdana" w:cs="Times New Roman"/>
          <w:sz w:val="22"/>
          <w:szCs w:val="22"/>
          <w:lang w:val="en-US"/>
        </w:rPr>
        <w:t xml:space="preserve">SJA, HCJ, </w:t>
      </w:r>
      <w:r w:rsidR="00E63091" w:rsidRPr="008649B0">
        <w:rPr>
          <w:rFonts w:ascii="Verdana" w:hAnsi="Verdana" w:cs="Times New Roman"/>
          <w:sz w:val="22"/>
          <w:szCs w:val="22"/>
          <w:lang w:val="en-US"/>
        </w:rPr>
        <w:t xml:space="preserve">temporary and permanent </w:t>
      </w:r>
      <w:r w:rsidR="00230A64">
        <w:rPr>
          <w:rFonts w:ascii="Verdana" w:hAnsi="Verdana" w:cs="Times New Roman"/>
          <w:sz w:val="22"/>
          <w:szCs w:val="22"/>
          <w:lang w:val="en-US"/>
        </w:rPr>
        <w:t>chief of staff</w:t>
      </w:r>
      <w:r w:rsidR="00E63091" w:rsidRPr="008649B0">
        <w:rPr>
          <w:rFonts w:ascii="Verdana" w:hAnsi="Verdana" w:cs="Times New Roman"/>
          <w:sz w:val="22"/>
          <w:szCs w:val="22"/>
          <w:lang w:val="en-US"/>
        </w:rPr>
        <w:t xml:space="preserve"> </w:t>
      </w:r>
      <w:r w:rsidR="00877E05" w:rsidRPr="008649B0">
        <w:rPr>
          <w:rFonts w:ascii="Verdana" w:hAnsi="Verdana" w:cs="Times New Roman"/>
          <w:sz w:val="22"/>
          <w:szCs w:val="22"/>
          <w:lang w:val="en-US"/>
        </w:rPr>
        <w:t>of the HACC,</w:t>
      </w:r>
      <w:r w:rsidR="00D52713" w:rsidRPr="008649B0">
        <w:rPr>
          <w:rFonts w:ascii="Verdana" w:hAnsi="Verdana" w:cs="Times New Roman"/>
          <w:sz w:val="22"/>
          <w:szCs w:val="22"/>
          <w:lang w:val="en-US"/>
        </w:rPr>
        <w:t xml:space="preserve"> </w:t>
      </w:r>
      <w:r w:rsidR="00877E05" w:rsidRPr="008649B0">
        <w:rPr>
          <w:rFonts w:ascii="Verdana" w:hAnsi="Verdana" w:cs="Times New Roman"/>
          <w:sz w:val="22"/>
          <w:szCs w:val="22"/>
          <w:lang w:val="en-US"/>
        </w:rPr>
        <w:t>and</w:t>
      </w:r>
      <w:r w:rsidR="00D52713" w:rsidRPr="008649B0">
        <w:rPr>
          <w:rFonts w:ascii="Verdana" w:hAnsi="Verdana" w:cs="Times New Roman"/>
          <w:sz w:val="22"/>
          <w:szCs w:val="22"/>
          <w:lang w:val="en-US"/>
        </w:rPr>
        <w:t xml:space="preserve"> other national counterparts </w:t>
      </w:r>
      <w:r w:rsidR="00877E05" w:rsidRPr="008649B0">
        <w:rPr>
          <w:rFonts w:ascii="Verdana" w:hAnsi="Verdana" w:cs="Times New Roman"/>
          <w:sz w:val="22"/>
          <w:szCs w:val="22"/>
          <w:lang w:val="en-US"/>
        </w:rPr>
        <w:t>as required,</w:t>
      </w:r>
      <w:r w:rsidR="00D52713" w:rsidRPr="008649B0">
        <w:rPr>
          <w:rFonts w:ascii="Verdana" w:hAnsi="Verdana" w:cs="Times New Roman"/>
          <w:sz w:val="22"/>
          <w:szCs w:val="22"/>
          <w:lang w:val="en-US"/>
        </w:rPr>
        <w:t xml:space="preserve"> on all matters related to the operational establishment of the HACC;</w:t>
      </w:r>
    </w:p>
    <w:p w:rsidR="00D82F51" w:rsidRPr="007A738D" w:rsidRDefault="00D73826" w:rsidP="00D82F51">
      <w:pPr>
        <w:pStyle w:val="ListParagraph"/>
        <w:numPr>
          <w:ilvl w:val="0"/>
          <w:numId w:val="9"/>
        </w:numPr>
        <w:tabs>
          <w:tab w:val="left" w:pos="368"/>
        </w:tabs>
        <w:jc w:val="both"/>
        <w:rPr>
          <w:rFonts w:ascii="Verdana" w:hAnsi="Verdana" w:cs="Times New Roman"/>
          <w:sz w:val="22"/>
          <w:szCs w:val="22"/>
          <w:lang w:val="en-US"/>
        </w:rPr>
      </w:pPr>
      <w:r>
        <w:rPr>
          <w:rFonts w:ascii="Verdana" w:hAnsi="Verdana" w:cs="Times New Roman"/>
          <w:sz w:val="22"/>
          <w:szCs w:val="22"/>
          <w:lang w:val="en-US"/>
        </w:rPr>
        <w:t>A</w:t>
      </w:r>
      <w:proofErr w:type="spellStart"/>
      <w:r w:rsidRPr="00D82F51">
        <w:rPr>
          <w:rFonts w:ascii="Verdana" w:hAnsi="Verdana" w:cs="Times New Roman"/>
          <w:sz w:val="22"/>
          <w:szCs w:val="22"/>
        </w:rPr>
        <w:t>ssist</w:t>
      </w:r>
      <w:proofErr w:type="spellEnd"/>
      <w:r w:rsidRPr="00D82F51">
        <w:rPr>
          <w:rFonts w:ascii="Verdana" w:hAnsi="Verdana" w:cs="Times New Roman"/>
          <w:sz w:val="22"/>
          <w:szCs w:val="22"/>
        </w:rPr>
        <w:t xml:space="preserve"> the national counterparts in additional planning and implementation of different directions of the HACC Roadmap, including development of specific institutional and strategic documents required for its implementation, where requested and deemed necessary</w:t>
      </w:r>
      <w:r w:rsidR="00D82F51" w:rsidRPr="00D82F51">
        <w:rPr>
          <w:rFonts w:ascii="Verdana" w:hAnsi="Verdana" w:cs="Times New Roman"/>
          <w:sz w:val="22"/>
          <w:szCs w:val="22"/>
        </w:rPr>
        <w:t>;</w:t>
      </w:r>
    </w:p>
    <w:p w:rsidR="001606C5" w:rsidRPr="007235AE" w:rsidRDefault="001606C5" w:rsidP="001606C5">
      <w:pPr>
        <w:pStyle w:val="ListParagraph"/>
        <w:numPr>
          <w:ilvl w:val="0"/>
          <w:numId w:val="9"/>
        </w:numPr>
        <w:tabs>
          <w:tab w:val="left" w:pos="368"/>
        </w:tabs>
        <w:jc w:val="both"/>
        <w:rPr>
          <w:rFonts w:ascii="Verdana" w:hAnsi="Verdana" w:cs="Times New Roman"/>
          <w:sz w:val="22"/>
          <w:szCs w:val="22"/>
          <w:lang w:val="en-US"/>
        </w:rPr>
      </w:pPr>
      <w:r>
        <w:rPr>
          <w:rFonts w:ascii="Verdana" w:hAnsi="Verdana" w:cs="Times New Roman"/>
          <w:sz w:val="22"/>
          <w:szCs w:val="22"/>
          <w:lang w:val="en-US"/>
        </w:rPr>
        <w:t>Participate</w:t>
      </w:r>
      <w:r w:rsidRPr="007A738D">
        <w:rPr>
          <w:rFonts w:ascii="Verdana" w:hAnsi="Verdana" w:cs="Times New Roman"/>
          <w:sz w:val="22"/>
          <w:szCs w:val="22"/>
          <w:lang w:val="en-US"/>
        </w:rPr>
        <w:t xml:space="preserve"> </w:t>
      </w:r>
      <w:r>
        <w:rPr>
          <w:rFonts w:ascii="Verdana" w:hAnsi="Verdana" w:cs="Times New Roman"/>
          <w:sz w:val="22"/>
          <w:szCs w:val="22"/>
          <w:lang w:val="en-US"/>
        </w:rPr>
        <w:t>in the HACC working groups and support and facilitate the discussions</w:t>
      </w:r>
      <w:r w:rsidRPr="008649B0">
        <w:rPr>
          <w:rFonts w:ascii="Verdana" w:hAnsi="Verdana" w:cs="Times New Roman"/>
          <w:sz w:val="22"/>
          <w:szCs w:val="22"/>
          <w:lang w:val="en-US"/>
        </w:rPr>
        <w:t>;</w:t>
      </w:r>
    </w:p>
    <w:p w:rsidR="007A738D" w:rsidRPr="007A738D" w:rsidRDefault="007A738D" w:rsidP="007A738D">
      <w:pPr>
        <w:pStyle w:val="ListParagraph"/>
        <w:numPr>
          <w:ilvl w:val="0"/>
          <w:numId w:val="9"/>
        </w:numPr>
        <w:rPr>
          <w:rFonts w:ascii="Verdana" w:hAnsi="Verdana" w:cs="Times New Roman"/>
          <w:sz w:val="22"/>
          <w:szCs w:val="22"/>
          <w:lang w:val="en-US"/>
        </w:rPr>
      </w:pPr>
      <w:r>
        <w:rPr>
          <w:rFonts w:ascii="Verdana" w:hAnsi="Verdana" w:cs="Times New Roman"/>
          <w:sz w:val="22"/>
          <w:szCs w:val="22"/>
          <w:lang w:val="en-US"/>
        </w:rPr>
        <w:t>Assist,</w:t>
      </w:r>
      <w:r w:rsidRPr="007A738D">
        <w:rPr>
          <w:rFonts w:ascii="Verdana" w:hAnsi="Verdana" w:cs="Times New Roman"/>
          <w:sz w:val="22"/>
          <w:szCs w:val="22"/>
          <w:lang w:val="en-US"/>
        </w:rPr>
        <w:t xml:space="preserve"> as directed by the Senior Project Manager</w:t>
      </w:r>
      <w:r w:rsidR="00756268">
        <w:rPr>
          <w:rFonts w:ascii="Verdana" w:hAnsi="Verdana" w:cs="Times New Roman"/>
          <w:sz w:val="22"/>
          <w:szCs w:val="22"/>
          <w:lang w:val="en-US"/>
        </w:rPr>
        <w:t xml:space="preserve"> of the HACC Support Group and EUACI experts</w:t>
      </w:r>
      <w:r>
        <w:rPr>
          <w:rFonts w:ascii="Verdana" w:hAnsi="Verdana" w:cs="Times New Roman"/>
          <w:sz w:val="22"/>
          <w:szCs w:val="22"/>
          <w:lang w:val="en-US"/>
        </w:rPr>
        <w:t>,</w:t>
      </w:r>
      <w:r w:rsidRPr="007A738D">
        <w:rPr>
          <w:rFonts w:ascii="Verdana" w:hAnsi="Verdana" w:cs="Times New Roman"/>
          <w:sz w:val="22"/>
          <w:szCs w:val="22"/>
          <w:lang w:val="en-US"/>
        </w:rPr>
        <w:t xml:space="preserve"> to judicial administration experts as well as other thematic experts or trainers engaged by the EUACI for the support of the establishment and operationalization of the HACC;</w:t>
      </w:r>
    </w:p>
    <w:p w:rsidR="007A738D" w:rsidRPr="007A738D" w:rsidRDefault="00756268" w:rsidP="007A738D">
      <w:pPr>
        <w:pStyle w:val="ListParagraph"/>
        <w:numPr>
          <w:ilvl w:val="0"/>
          <w:numId w:val="9"/>
        </w:numPr>
        <w:rPr>
          <w:rFonts w:ascii="Verdana" w:hAnsi="Verdana" w:cs="Times New Roman"/>
          <w:sz w:val="22"/>
          <w:szCs w:val="22"/>
          <w:lang w:val="en-US"/>
        </w:rPr>
      </w:pPr>
      <w:r>
        <w:rPr>
          <w:rFonts w:ascii="Verdana" w:hAnsi="Verdana" w:cs="Times New Roman"/>
          <w:sz w:val="22"/>
          <w:szCs w:val="22"/>
          <w:lang w:val="en-US"/>
        </w:rPr>
        <w:t>Supporting</w:t>
      </w:r>
      <w:r w:rsidR="007A738D" w:rsidRPr="007A738D">
        <w:rPr>
          <w:rFonts w:ascii="Verdana" w:hAnsi="Verdana" w:cs="Times New Roman"/>
          <w:sz w:val="22"/>
          <w:szCs w:val="22"/>
          <w:lang w:val="en-US"/>
        </w:rPr>
        <w:t xml:space="preserve"> the Senior Project Manager </w:t>
      </w:r>
      <w:r>
        <w:rPr>
          <w:rFonts w:ascii="Verdana" w:hAnsi="Verdana" w:cs="Times New Roman"/>
          <w:sz w:val="22"/>
          <w:szCs w:val="22"/>
          <w:lang w:val="en-US"/>
        </w:rPr>
        <w:t xml:space="preserve">of the HACC Support Group and EUACI experts </w:t>
      </w:r>
      <w:r w:rsidR="007A738D" w:rsidRPr="007A738D">
        <w:rPr>
          <w:rFonts w:ascii="Verdana" w:hAnsi="Verdana" w:cs="Times New Roman"/>
          <w:sz w:val="22"/>
          <w:szCs w:val="22"/>
          <w:lang w:val="en-US"/>
        </w:rPr>
        <w:t xml:space="preserve">in facilitating coordination of activities of the </w:t>
      </w:r>
      <w:r w:rsidR="007A738D">
        <w:rPr>
          <w:rFonts w:ascii="Verdana" w:hAnsi="Verdana" w:cs="Times New Roman"/>
          <w:sz w:val="22"/>
          <w:szCs w:val="22"/>
          <w:lang w:val="en-US"/>
        </w:rPr>
        <w:t>HACC Support Group</w:t>
      </w:r>
      <w:r w:rsidR="007A738D" w:rsidRPr="007A738D">
        <w:rPr>
          <w:rFonts w:ascii="Verdana" w:hAnsi="Verdana" w:cs="Times New Roman"/>
          <w:sz w:val="22"/>
          <w:szCs w:val="22"/>
          <w:lang w:val="en-US"/>
        </w:rPr>
        <w:t xml:space="preserve"> with the SJA, acting Chief of Staff of the HACC and other relevant stakeholders;</w:t>
      </w:r>
    </w:p>
    <w:p w:rsidR="004D3F53" w:rsidRDefault="00230A64" w:rsidP="001A6C06">
      <w:pPr>
        <w:pStyle w:val="ListParagraph"/>
        <w:numPr>
          <w:ilvl w:val="0"/>
          <w:numId w:val="9"/>
        </w:numPr>
        <w:tabs>
          <w:tab w:val="left" w:pos="368"/>
        </w:tabs>
        <w:jc w:val="both"/>
        <w:rPr>
          <w:rFonts w:ascii="Verdana" w:hAnsi="Verdana" w:cs="Times New Roman"/>
          <w:sz w:val="22"/>
          <w:szCs w:val="22"/>
          <w:lang w:val="en-US"/>
        </w:rPr>
      </w:pPr>
      <w:r w:rsidRPr="008649B0">
        <w:rPr>
          <w:rFonts w:ascii="Verdana" w:hAnsi="Verdana" w:cs="Times New Roman"/>
          <w:sz w:val="22"/>
          <w:szCs w:val="22"/>
          <w:lang w:val="en-US"/>
        </w:rPr>
        <w:t>Coordination with international and national experts engaged by the EUACI and other international technical assistance programs related to the HACC establishment</w:t>
      </w:r>
      <w:r w:rsidR="007A738D">
        <w:rPr>
          <w:rFonts w:ascii="Verdana" w:hAnsi="Verdana" w:cs="Times New Roman"/>
          <w:sz w:val="22"/>
          <w:szCs w:val="22"/>
          <w:lang w:val="en-US"/>
        </w:rPr>
        <w:t>;</w:t>
      </w:r>
    </w:p>
    <w:p w:rsidR="007A738D" w:rsidRPr="005E548F" w:rsidRDefault="00756268" w:rsidP="007A738D">
      <w:pPr>
        <w:pStyle w:val="ListParagraph"/>
        <w:numPr>
          <w:ilvl w:val="0"/>
          <w:numId w:val="4"/>
        </w:numPr>
        <w:tabs>
          <w:tab w:val="left" w:pos="368"/>
        </w:tabs>
        <w:jc w:val="both"/>
        <w:rPr>
          <w:rFonts w:ascii="Verdana" w:hAnsi="Verdana" w:cs="Times New Roman"/>
          <w:sz w:val="22"/>
          <w:szCs w:val="22"/>
        </w:rPr>
      </w:pPr>
      <w:r>
        <w:rPr>
          <w:rFonts w:ascii="Verdana" w:hAnsi="Verdana" w:cs="Times New Roman"/>
          <w:sz w:val="22"/>
          <w:szCs w:val="22"/>
          <w:lang w:val="en-US"/>
        </w:rPr>
        <w:t>D</w:t>
      </w:r>
      <w:r w:rsidR="007A738D" w:rsidRPr="005E548F">
        <w:rPr>
          <w:rFonts w:ascii="Verdana" w:hAnsi="Verdana" w:cs="Times New Roman"/>
          <w:sz w:val="22"/>
          <w:szCs w:val="22"/>
        </w:rPr>
        <w:t xml:space="preserve">rafting legal opinions, memos, ToRs, minutes, proof reading legal translations; </w:t>
      </w:r>
    </w:p>
    <w:p w:rsidR="007A738D" w:rsidRPr="007A738D" w:rsidRDefault="00756268" w:rsidP="007A738D">
      <w:pPr>
        <w:pStyle w:val="ListParagraph"/>
        <w:numPr>
          <w:ilvl w:val="0"/>
          <w:numId w:val="4"/>
        </w:numPr>
        <w:tabs>
          <w:tab w:val="left" w:pos="368"/>
        </w:tabs>
        <w:jc w:val="both"/>
        <w:rPr>
          <w:rFonts w:ascii="Verdana" w:hAnsi="Verdana" w:cs="Times New Roman"/>
          <w:sz w:val="22"/>
          <w:szCs w:val="22"/>
        </w:rPr>
      </w:pPr>
      <w:r>
        <w:rPr>
          <w:rFonts w:ascii="Verdana" w:hAnsi="Verdana" w:cs="Times New Roman"/>
          <w:sz w:val="22"/>
          <w:szCs w:val="22"/>
        </w:rPr>
        <w:t>Other tasks as assigned.</w:t>
      </w:r>
    </w:p>
    <w:p w:rsidR="001A6C06" w:rsidRPr="001A6C06" w:rsidRDefault="001A6C06" w:rsidP="001A6C06">
      <w:pPr>
        <w:pStyle w:val="ListParagraph"/>
        <w:tabs>
          <w:tab w:val="left" w:pos="368"/>
        </w:tabs>
        <w:jc w:val="both"/>
        <w:rPr>
          <w:rFonts w:ascii="Verdana" w:hAnsi="Verdana" w:cs="Times New Roman"/>
          <w:sz w:val="22"/>
          <w:szCs w:val="22"/>
          <w:lang w:val="en-US"/>
        </w:rPr>
      </w:pPr>
    </w:p>
    <w:p w:rsidR="004D3F53" w:rsidRDefault="004D3F53" w:rsidP="004D3F53">
      <w:pPr>
        <w:tabs>
          <w:tab w:val="left" w:pos="368"/>
        </w:tabs>
        <w:ind w:left="360"/>
        <w:jc w:val="both"/>
        <w:rPr>
          <w:rFonts w:ascii="Verdana" w:hAnsi="Verdana" w:cs="Times New Roman"/>
          <w:lang w:val="en-US"/>
        </w:rPr>
      </w:pPr>
      <w:r>
        <w:rPr>
          <w:rFonts w:ascii="Verdana" w:hAnsi="Verdana" w:cs="Times New Roman"/>
          <w:lang w:val="en-US"/>
        </w:rPr>
        <w:t>b.</w:t>
      </w:r>
      <w:r>
        <w:rPr>
          <w:rFonts w:ascii="Verdana" w:hAnsi="Verdana" w:cs="Times New Roman"/>
          <w:lang w:val="en-US"/>
        </w:rPr>
        <w:tab/>
        <w:t>Expected deliverables</w:t>
      </w:r>
    </w:p>
    <w:p w:rsidR="00756268" w:rsidRDefault="00756268" w:rsidP="001A6C06">
      <w:pPr>
        <w:numPr>
          <w:ilvl w:val="0"/>
          <w:numId w:val="9"/>
        </w:numPr>
        <w:tabs>
          <w:tab w:val="left" w:pos="368"/>
        </w:tabs>
        <w:spacing w:after="0" w:line="240" w:lineRule="auto"/>
        <w:jc w:val="both"/>
        <w:rPr>
          <w:rFonts w:ascii="Verdana" w:hAnsi="Verdana" w:cstheme="minorHAnsi"/>
          <w:lang w:val="en-GB"/>
        </w:rPr>
      </w:pPr>
      <w:r>
        <w:rPr>
          <w:rFonts w:ascii="Verdana" w:hAnsi="Verdana" w:cstheme="minorHAnsi"/>
          <w:lang w:val="en-GB"/>
        </w:rPr>
        <w:t>Legal assessments and opinions;</w:t>
      </w:r>
    </w:p>
    <w:p w:rsidR="00D82F51" w:rsidRPr="00756268" w:rsidRDefault="00D82F51" w:rsidP="001A6C06">
      <w:pPr>
        <w:numPr>
          <w:ilvl w:val="0"/>
          <w:numId w:val="9"/>
        </w:numPr>
        <w:tabs>
          <w:tab w:val="left" w:pos="368"/>
        </w:tabs>
        <w:spacing w:after="0" w:line="240" w:lineRule="auto"/>
        <w:jc w:val="both"/>
        <w:rPr>
          <w:rFonts w:ascii="Verdana" w:hAnsi="Verdana" w:cstheme="minorHAnsi"/>
          <w:lang w:val="en-GB"/>
        </w:rPr>
      </w:pPr>
      <w:r w:rsidRPr="00D82F51">
        <w:rPr>
          <w:rFonts w:ascii="Verdana" w:hAnsi="Verdana" w:cs="Times New Roman"/>
          <w:lang w:val="en-GB"/>
        </w:rPr>
        <w:t>A</w:t>
      </w:r>
      <w:proofErr w:type="spellStart"/>
      <w:r w:rsidR="007235AE">
        <w:rPr>
          <w:rFonts w:ascii="Verdana" w:hAnsi="Verdana" w:cs="Times New Roman"/>
          <w:lang w:val="en-US"/>
        </w:rPr>
        <w:t>ction</w:t>
      </w:r>
      <w:proofErr w:type="spellEnd"/>
      <w:r w:rsidR="007235AE">
        <w:rPr>
          <w:rFonts w:ascii="Verdana" w:hAnsi="Verdana" w:cs="Times New Roman"/>
          <w:lang w:val="en-US"/>
        </w:rPr>
        <w:t xml:space="preserve"> p</w:t>
      </w:r>
      <w:r w:rsidR="004D3F53" w:rsidRPr="00D82F51">
        <w:rPr>
          <w:rFonts w:ascii="Verdana" w:hAnsi="Verdana" w:cs="Times New Roman"/>
          <w:lang w:val="en-US"/>
        </w:rPr>
        <w:t>lans and strategic documents for areas identified and agreed with the national counterparts and as required for the implementation of the HACC Roadmap;</w:t>
      </w:r>
    </w:p>
    <w:p w:rsidR="00756268" w:rsidRPr="00D82F51" w:rsidRDefault="00756268" w:rsidP="001A6C06">
      <w:pPr>
        <w:numPr>
          <w:ilvl w:val="0"/>
          <w:numId w:val="9"/>
        </w:numPr>
        <w:tabs>
          <w:tab w:val="left" w:pos="368"/>
        </w:tabs>
        <w:spacing w:after="0" w:line="240" w:lineRule="auto"/>
        <w:jc w:val="both"/>
        <w:rPr>
          <w:rFonts w:ascii="Verdana" w:hAnsi="Verdana" w:cstheme="minorHAnsi"/>
          <w:lang w:val="en-GB"/>
        </w:rPr>
      </w:pPr>
      <w:r>
        <w:rPr>
          <w:rFonts w:ascii="Verdana" w:hAnsi="Verdana" w:cs="Times New Roman"/>
          <w:lang w:val="en-US"/>
        </w:rPr>
        <w:t>Other thematic documents, including briefing notes</w:t>
      </w:r>
      <w:r w:rsidR="001606C5" w:rsidRPr="001606C5">
        <w:rPr>
          <w:rFonts w:ascii="Verdana" w:hAnsi="Verdana" w:cs="Times New Roman"/>
          <w:lang w:val="en-US"/>
        </w:rPr>
        <w:t xml:space="preserve"> </w:t>
      </w:r>
      <w:r w:rsidR="001606C5">
        <w:rPr>
          <w:rFonts w:ascii="Verdana" w:hAnsi="Verdana" w:cs="Times New Roman"/>
          <w:lang w:val="en-US"/>
        </w:rPr>
        <w:t>and</w:t>
      </w:r>
      <w:r w:rsidR="001606C5" w:rsidRPr="001606C5">
        <w:rPr>
          <w:rFonts w:ascii="Verdana" w:hAnsi="Verdana" w:cs="Times New Roman"/>
          <w:lang w:val="en-US"/>
        </w:rPr>
        <w:t xml:space="preserve"> </w:t>
      </w:r>
      <w:r w:rsidR="001606C5">
        <w:rPr>
          <w:rFonts w:ascii="Verdana" w:hAnsi="Verdana" w:cs="Times New Roman"/>
          <w:lang w:val="en-US"/>
        </w:rPr>
        <w:t>charts</w:t>
      </w:r>
      <w:r>
        <w:rPr>
          <w:rFonts w:ascii="Verdana" w:hAnsi="Verdana" w:cs="Times New Roman"/>
          <w:lang w:val="en-US"/>
        </w:rPr>
        <w:t>;</w:t>
      </w:r>
    </w:p>
    <w:p w:rsidR="00655D55" w:rsidRPr="00D82F51" w:rsidRDefault="00655D55" w:rsidP="001A6C06">
      <w:pPr>
        <w:numPr>
          <w:ilvl w:val="0"/>
          <w:numId w:val="9"/>
        </w:numPr>
        <w:tabs>
          <w:tab w:val="left" w:pos="368"/>
        </w:tabs>
        <w:spacing w:after="0" w:line="240" w:lineRule="auto"/>
        <w:jc w:val="both"/>
        <w:rPr>
          <w:rFonts w:ascii="Verdana" w:hAnsi="Verdana" w:cstheme="minorHAnsi"/>
          <w:lang w:val="en-GB"/>
        </w:rPr>
      </w:pPr>
      <w:r w:rsidRPr="00D82F51">
        <w:rPr>
          <w:rFonts w:ascii="Verdana" w:hAnsi="Verdana" w:cs="Times New Roman"/>
          <w:lang w:val="en-US"/>
        </w:rPr>
        <w:t xml:space="preserve">A </w:t>
      </w:r>
      <w:r w:rsidR="00756268">
        <w:rPr>
          <w:rFonts w:ascii="Verdana" w:hAnsi="Verdana" w:cs="Times New Roman"/>
          <w:lang w:val="en-US"/>
        </w:rPr>
        <w:t xml:space="preserve">final </w:t>
      </w:r>
      <w:r w:rsidRPr="00D82F51">
        <w:rPr>
          <w:rFonts w:ascii="Verdana" w:hAnsi="Verdana" w:cs="Times New Roman"/>
          <w:lang w:val="en-US"/>
        </w:rPr>
        <w:t xml:space="preserve">report of maximum 5 pages, excluding annexes, will be the final deliverable. The report shall provide an assessment of the achievements made in relation to the </w:t>
      </w:r>
      <w:r w:rsidR="004D3F53" w:rsidRPr="00D82F51">
        <w:rPr>
          <w:rFonts w:ascii="Verdana" w:hAnsi="Verdana" w:cs="Times New Roman"/>
          <w:lang w:val="en-US"/>
        </w:rPr>
        <w:t xml:space="preserve">scope of work and </w:t>
      </w:r>
      <w:r w:rsidRPr="00D82F51">
        <w:rPr>
          <w:rFonts w:ascii="Verdana" w:hAnsi="Verdana" w:cs="Times New Roman"/>
          <w:lang w:val="en-US"/>
        </w:rPr>
        <w:t xml:space="preserve">deliverables, how these have been received, and any critical issues where follow-up may/will be required. </w:t>
      </w:r>
    </w:p>
    <w:p w:rsidR="00655D55" w:rsidRPr="00036A21" w:rsidRDefault="00655D55" w:rsidP="00033769">
      <w:pPr>
        <w:tabs>
          <w:tab w:val="left" w:pos="368"/>
        </w:tabs>
        <w:spacing w:after="0" w:line="240" w:lineRule="auto"/>
        <w:jc w:val="both"/>
        <w:rPr>
          <w:rFonts w:ascii="Verdana" w:hAnsi="Verdana" w:cstheme="minorHAnsi"/>
          <w:b/>
          <w:lang w:val="en-US"/>
        </w:rPr>
      </w:pPr>
    </w:p>
    <w:p w:rsidR="00CC6F81" w:rsidRPr="00036A21" w:rsidRDefault="00CC6F81" w:rsidP="00033769">
      <w:pPr>
        <w:pStyle w:val="ListParagraph"/>
        <w:numPr>
          <w:ilvl w:val="0"/>
          <w:numId w:val="5"/>
        </w:numPr>
        <w:tabs>
          <w:tab w:val="left" w:pos="368"/>
        </w:tabs>
        <w:jc w:val="both"/>
        <w:rPr>
          <w:rFonts w:ascii="Verdana" w:hAnsi="Verdana" w:cstheme="minorHAnsi"/>
          <w:b/>
          <w:sz w:val="22"/>
          <w:szCs w:val="22"/>
        </w:rPr>
      </w:pPr>
      <w:r w:rsidRPr="00036A21">
        <w:rPr>
          <w:rFonts w:ascii="Verdana" w:hAnsi="Verdana" w:cstheme="minorHAnsi"/>
          <w:b/>
          <w:sz w:val="22"/>
          <w:szCs w:val="22"/>
        </w:rPr>
        <w:t>Time</w:t>
      </w:r>
      <w:r w:rsidR="00A973A1" w:rsidRPr="00036A21">
        <w:rPr>
          <w:rFonts w:ascii="Verdana" w:hAnsi="Verdana" w:cstheme="minorHAnsi"/>
          <w:b/>
          <w:sz w:val="22"/>
          <w:szCs w:val="22"/>
        </w:rPr>
        <w:t>frame</w:t>
      </w:r>
      <w:r w:rsidRPr="00036A21">
        <w:rPr>
          <w:rFonts w:ascii="Verdana" w:hAnsi="Verdana" w:cstheme="minorHAnsi"/>
          <w:b/>
          <w:sz w:val="22"/>
          <w:szCs w:val="22"/>
        </w:rPr>
        <w:t xml:space="preserve"> </w:t>
      </w:r>
    </w:p>
    <w:p w:rsidR="002871CF" w:rsidRPr="00036A21" w:rsidRDefault="002871CF" w:rsidP="00033769">
      <w:pPr>
        <w:tabs>
          <w:tab w:val="left" w:pos="368"/>
        </w:tabs>
        <w:spacing w:after="0" w:line="240" w:lineRule="auto"/>
        <w:jc w:val="both"/>
        <w:rPr>
          <w:rFonts w:ascii="Verdana" w:hAnsi="Verdana" w:cstheme="minorHAnsi"/>
          <w:lang w:val="en-GB"/>
        </w:rPr>
      </w:pPr>
    </w:p>
    <w:p w:rsidR="00655D55" w:rsidRPr="00036A21" w:rsidRDefault="00CC6F81" w:rsidP="00033769">
      <w:pPr>
        <w:tabs>
          <w:tab w:val="left" w:pos="368"/>
        </w:tabs>
        <w:spacing w:after="0" w:line="240" w:lineRule="auto"/>
        <w:jc w:val="both"/>
        <w:rPr>
          <w:rFonts w:ascii="Verdana" w:hAnsi="Verdana" w:cstheme="minorHAnsi"/>
          <w:lang w:val="en-GB"/>
        </w:rPr>
      </w:pPr>
      <w:r w:rsidRPr="00036A21">
        <w:rPr>
          <w:rFonts w:ascii="Verdana" w:hAnsi="Verdana" w:cstheme="minorHAnsi"/>
          <w:lang w:val="en-GB"/>
        </w:rPr>
        <w:t>The intended commencement date is the date of signature of the contract by both parties</w:t>
      </w:r>
      <w:r w:rsidR="002871CF" w:rsidRPr="00036A21">
        <w:rPr>
          <w:rFonts w:ascii="Verdana" w:hAnsi="Verdana" w:cstheme="minorHAnsi"/>
          <w:lang w:val="en-GB"/>
        </w:rPr>
        <w:t xml:space="preserve"> </w:t>
      </w:r>
      <w:r w:rsidRPr="00036A21">
        <w:rPr>
          <w:rFonts w:ascii="Verdana" w:hAnsi="Verdana" w:cstheme="minorHAnsi"/>
          <w:lang w:val="en-GB"/>
        </w:rPr>
        <w:t>and the period of implementation of the contract will be</w:t>
      </w:r>
      <w:r w:rsidR="00BF6453" w:rsidRPr="00036A21">
        <w:rPr>
          <w:rFonts w:ascii="Verdana" w:hAnsi="Verdana" w:cstheme="minorHAnsi"/>
          <w:lang w:val="en-GB"/>
        </w:rPr>
        <w:t xml:space="preserve"> up to </w:t>
      </w:r>
      <w:r w:rsidR="00756268">
        <w:rPr>
          <w:rFonts w:ascii="Verdana" w:hAnsi="Verdana" w:cstheme="minorHAnsi"/>
          <w:lang w:val="en-GB"/>
        </w:rPr>
        <w:t>10</w:t>
      </w:r>
      <w:r w:rsidR="002871CF" w:rsidRPr="00036A21">
        <w:rPr>
          <w:rFonts w:ascii="Verdana" w:hAnsi="Verdana" w:cstheme="minorHAnsi"/>
          <w:lang w:val="en-GB"/>
        </w:rPr>
        <w:t xml:space="preserve"> months</w:t>
      </w:r>
      <w:r w:rsidR="00BF6453" w:rsidRPr="00036A21">
        <w:rPr>
          <w:rFonts w:ascii="Verdana" w:hAnsi="Verdana" w:cstheme="minorHAnsi"/>
          <w:lang w:val="en-GB"/>
        </w:rPr>
        <w:t xml:space="preserve">, with a </w:t>
      </w:r>
      <w:r w:rsidR="00BF6453" w:rsidRPr="00C77EF1">
        <w:rPr>
          <w:rFonts w:ascii="Verdana" w:hAnsi="Verdana" w:cstheme="minorHAnsi"/>
          <w:lang w:val="en-GB"/>
        </w:rPr>
        <w:t xml:space="preserve">maximum duration of </w:t>
      </w:r>
      <w:r w:rsidR="00756268">
        <w:rPr>
          <w:rFonts w:ascii="Verdana" w:hAnsi="Verdana" w:cstheme="minorHAnsi"/>
          <w:lang w:val="en-GB"/>
        </w:rPr>
        <w:t>6</w:t>
      </w:r>
      <w:r w:rsidR="00CC72C5" w:rsidRPr="00C77EF1">
        <w:rPr>
          <w:rFonts w:ascii="Verdana" w:hAnsi="Verdana" w:cstheme="minorHAnsi"/>
          <w:lang w:val="en-GB"/>
        </w:rPr>
        <w:t>0</w:t>
      </w:r>
      <w:r w:rsidR="00BF6453" w:rsidRPr="00C77EF1">
        <w:rPr>
          <w:rFonts w:ascii="Verdana" w:hAnsi="Verdana" w:cstheme="minorHAnsi"/>
          <w:lang w:val="en-GB"/>
        </w:rPr>
        <w:t xml:space="preserve"> working days</w:t>
      </w:r>
      <w:r w:rsidR="002871CF" w:rsidRPr="00036A21">
        <w:rPr>
          <w:rFonts w:ascii="Verdana" w:hAnsi="Verdana" w:cstheme="minorHAnsi"/>
          <w:lang w:val="en-GB"/>
        </w:rPr>
        <w:t>.</w:t>
      </w:r>
      <w:r w:rsidR="004D3F53">
        <w:rPr>
          <w:rFonts w:ascii="Verdana" w:hAnsi="Verdana" w:cstheme="minorHAnsi"/>
          <w:lang w:val="en-GB"/>
        </w:rPr>
        <w:t xml:space="preserve"> The consultancy work is expected to start in the second half of March 2019.</w:t>
      </w:r>
    </w:p>
    <w:p w:rsidR="00655D55" w:rsidRPr="00036A21" w:rsidRDefault="002871CF" w:rsidP="00033769">
      <w:pPr>
        <w:tabs>
          <w:tab w:val="left" w:pos="368"/>
        </w:tabs>
        <w:spacing w:after="0" w:line="240" w:lineRule="auto"/>
        <w:jc w:val="both"/>
        <w:rPr>
          <w:rFonts w:ascii="Verdana" w:hAnsi="Verdana" w:cstheme="minorHAnsi"/>
          <w:lang w:val="en-GB"/>
        </w:rPr>
      </w:pPr>
      <w:r w:rsidRPr="00036A21">
        <w:rPr>
          <w:rFonts w:ascii="Verdana" w:hAnsi="Verdana" w:cstheme="minorHAnsi"/>
          <w:lang w:val="en-GB"/>
        </w:rPr>
        <w:t xml:space="preserve"> </w:t>
      </w:r>
    </w:p>
    <w:p w:rsidR="00A973A1" w:rsidRPr="00036A21" w:rsidRDefault="00A973A1" w:rsidP="00033769">
      <w:pPr>
        <w:pStyle w:val="ListParagraph"/>
        <w:jc w:val="both"/>
        <w:rPr>
          <w:rFonts w:ascii="Verdana" w:hAnsi="Verdana" w:cstheme="minorHAnsi"/>
          <w:sz w:val="22"/>
          <w:szCs w:val="22"/>
        </w:rPr>
      </w:pPr>
    </w:p>
    <w:p w:rsidR="00CC6F81" w:rsidRPr="00036A21" w:rsidRDefault="00FC65B6" w:rsidP="00033769">
      <w:pPr>
        <w:pStyle w:val="Text2"/>
        <w:numPr>
          <w:ilvl w:val="0"/>
          <w:numId w:val="5"/>
        </w:numPr>
        <w:spacing w:after="0"/>
        <w:rPr>
          <w:rFonts w:ascii="Verdana" w:hAnsi="Verdana" w:cstheme="minorHAnsi"/>
          <w:b/>
          <w:sz w:val="22"/>
          <w:szCs w:val="22"/>
        </w:rPr>
      </w:pPr>
      <w:r w:rsidRPr="00036A21">
        <w:rPr>
          <w:rFonts w:ascii="Verdana" w:hAnsi="Verdana" w:cstheme="minorHAnsi"/>
          <w:b/>
          <w:sz w:val="22"/>
          <w:szCs w:val="22"/>
        </w:rPr>
        <w:t>Professional Requirements</w:t>
      </w:r>
    </w:p>
    <w:p w:rsidR="00E17576" w:rsidRPr="00036A21" w:rsidRDefault="00E17576" w:rsidP="00033769">
      <w:pPr>
        <w:widowControl w:val="0"/>
        <w:autoSpaceDE w:val="0"/>
        <w:autoSpaceDN w:val="0"/>
        <w:spacing w:after="0" w:line="240" w:lineRule="auto"/>
        <w:jc w:val="both"/>
        <w:rPr>
          <w:rFonts w:ascii="Verdana" w:hAnsi="Verdana" w:cstheme="minorHAnsi"/>
          <w:lang w:val="en-GB"/>
        </w:rPr>
      </w:pPr>
    </w:p>
    <w:p w:rsidR="00CC6F81" w:rsidRDefault="00D82F51" w:rsidP="00033769">
      <w:pPr>
        <w:widowControl w:val="0"/>
        <w:autoSpaceDE w:val="0"/>
        <w:autoSpaceDN w:val="0"/>
        <w:spacing w:after="0" w:line="240" w:lineRule="auto"/>
        <w:jc w:val="both"/>
        <w:rPr>
          <w:rFonts w:ascii="Verdana" w:hAnsi="Verdana" w:cstheme="minorHAnsi"/>
          <w:lang w:val="en-GB"/>
        </w:rPr>
      </w:pPr>
      <w:r>
        <w:rPr>
          <w:rFonts w:ascii="Verdana" w:hAnsi="Verdana" w:cstheme="minorHAnsi"/>
          <w:lang w:val="en-GB"/>
        </w:rPr>
        <w:t xml:space="preserve">The following minimum professional requirements are expected for both </w:t>
      </w:r>
      <w:r w:rsidR="001606C5">
        <w:rPr>
          <w:rFonts w:ascii="Verdana" w:hAnsi="Verdana" w:cstheme="minorHAnsi"/>
          <w:lang w:val="en-GB"/>
        </w:rPr>
        <w:t>legal experts</w:t>
      </w:r>
      <w:r>
        <w:rPr>
          <w:rFonts w:ascii="Verdana" w:hAnsi="Verdana" w:cstheme="minorHAnsi"/>
          <w:lang w:val="en-GB"/>
        </w:rPr>
        <w:t>:</w:t>
      </w:r>
    </w:p>
    <w:p w:rsidR="00D82F51" w:rsidRPr="00036A21" w:rsidRDefault="00D82F51" w:rsidP="00033769">
      <w:pPr>
        <w:widowControl w:val="0"/>
        <w:autoSpaceDE w:val="0"/>
        <w:autoSpaceDN w:val="0"/>
        <w:spacing w:after="0" w:line="240" w:lineRule="auto"/>
        <w:jc w:val="both"/>
        <w:rPr>
          <w:rFonts w:ascii="Verdana" w:hAnsi="Verdana" w:cstheme="minorHAnsi"/>
          <w:lang w:val="en-GB"/>
        </w:rPr>
      </w:pPr>
    </w:p>
    <w:p w:rsidR="001606C5" w:rsidRPr="001606C5" w:rsidRDefault="001606C5" w:rsidP="001606C5">
      <w:pPr>
        <w:pStyle w:val="ListParagraph"/>
        <w:widowControl w:val="0"/>
        <w:numPr>
          <w:ilvl w:val="0"/>
          <w:numId w:val="2"/>
        </w:numPr>
        <w:autoSpaceDE w:val="0"/>
        <w:autoSpaceDN w:val="0"/>
        <w:jc w:val="both"/>
        <w:rPr>
          <w:rFonts w:ascii="Verdana" w:hAnsi="Verdana" w:cstheme="minorHAnsi"/>
          <w:sz w:val="22"/>
          <w:szCs w:val="22"/>
        </w:rPr>
      </w:pPr>
      <w:r w:rsidRPr="001606C5">
        <w:rPr>
          <w:rFonts w:ascii="Verdana" w:hAnsi="Verdana" w:cstheme="minorHAnsi"/>
          <w:sz w:val="22"/>
          <w:szCs w:val="22"/>
        </w:rPr>
        <w:t>Graduate degree in Law;</w:t>
      </w:r>
    </w:p>
    <w:p w:rsidR="001606C5" w:rsidRPr="001606C5" w:rsidRDefault="001606C5" w:rsidP="001606C5">
      <w:pPr>
        <w:pStyle w:val="ListParagraph"/>
        <w:widowControl w:val="0"/>
        <w:numPr>
          <w:ilvl w:val="0"/>
          <w:numId w:val="2"/>
        </w:numPr>
        <w:autoSpaceDE w:val="0"/>
        <w:autoSpaceDN w:val="0"/>
        <w:jc w:val="both"/>
        <w:rPr>
          <w:rFonts w:ascii="Verdana" w:hAnsi="Verdana" w:cstheme="minorHAnsi"/>
          <w:sz w:val="22"/>
          <w:szCs w:val="22"/>
        </w:rPr>
      </w:pPr>
      <w:r w:rsidRPr="001606C5">
        <w:rPr>
          <w:rFonts w:ascii="Verdana" w:hAnsi="Verdana" w:cstheme="minorHAnsi"/>
          <w:sz w:val="22"/>
          <w:szCs w:val="22"/>
        </w:rPr>
        <w:t>At least 5 years of proven experience in legal research and drafting;</w:t>
      </w:r>
    </w:p>
    <w:p w:rsidR="001606C5" w:rsidRPr="001606C5" w:rsidRDefault="001606C5" w:rsidP="001606C5">
      <w:pPr>
        <w:pStyle w:val="ListParagraph"/>
        <w:widowControl w:val="0"/>
        <w:numPr>
          <w:ilvl w:val="0"/>
          <w:numId w:val="2"/>
        </w:numPr>
        <w:autoSpaceDE w:val="0"/>
        <w:autoSpaceDN w:val="0"/>
        <w:jc w:val="both"/>
        <w:rPr>
          <w:rFonts w:ascii="Verdana" w:hAnsi="Verdana" w:cstheme="minorHAnsi"/>
          <w:sz w:val="22"/>
          <w:szCs w:val="22"/>
        </w:rPr>
      </w:pPr>
      <w:r w:rsidRPr="001606C5">
        <w:rPr>
          <w:rFonts w:ascii="Verdana" w:hAnsi="Verdana" w:cstheme="minorHAnsi"/>
          <w:sz w:val="22"/>
          <w:szCs w:val="22"/>
        </w:rPr>
        <w:t>Experience in reform proc</w:t>
      </w:r>
      <w:r w:rsidR="00BB75E2">
        <w:rPr>
          <w:rFonts w:ascii="Verdana" w:hAnsi="Verdana" w:cstheme="minorHAnsi"/>
          <w:sz w:val="22"/>
          <w:szCs w:val="22"/>
        </w:rPr>
        <w:t>esses in the rule of law sector;</w:t>
      </w:r>
      <w:r w:rsidRPr="001606C5">
        <w:rPr>
          <w:rFonts w:ascii="Verdana" w:hAnsi="Verdana" w:cstheme="minorHAnsi"/>
          <w:sz w:val="22"/>
          <w:szCs w:val="22"/>
        </w:rPr>
        <w:t xml:space="preserve"> knowledge and understanding of reform processes in Ukraine; </w:t>
      </w:r>
    </w:p>
    <w:p w:rsidR="001606C5" w:rsidRPr="001606C5" w:rsidRDefault="001606C5" w:rsidP="001606C5">
      <w:pPr>
        <w:pStyle w:val="ListParagraph"/>
        <w:widowControl w:val="0"/>
        <w:numPr>
          <w:ilvl w:val="0"/>
          <w:numId w:val="2"/>
        </w:numPr>
        <w:autoSpaceDE w:val="0"/>
        <w:autoSpaceDN w:val="0"/>
        <w:jc w:val="both"/>
        <w:rPr>
          <w:rFonts w:ascii="Verdana" w:hAnsi="Verdana" w:cstheme="minorHAnsi"/>
          <w:sz w:val="22"/>
          <w:szCs w:val="22"/>
        </w:rPr>
      </w:pPr>
      <w:r w:rsidRPr="001606C5">
        <w:rPr>
          <w:rFonts w:ascii="Verdana" w:hAnsi="Verdana" w:cstheme="minorHAnsi"/>
          <w:sz w:val="22"/>
          <w:szCs w:val="22"/>
        </w:rPr>
        <w:t>Experience of working with governmental institutions as well as international organizations providing assistance to rule of law and/or anti-corruption reforms in Ukraine;</w:t>
      </w:r>
    </w:p>
    <w:p w:rsidR="00647964" w:rsidRPr="001606C5" w:rsidRDefault="001606C5" w:rsidP="001606C5">
      <w:pPr>
        <w:pStyle w:val="ListParagraph"/>
        <w:widowControl w:val="0"/>
        <w:numPr>
          <w:ilvl w:val="0"/>
          <w:numId w:val="2"/>
        </w:numPr>
        <w:autoSpaceDE w:val="0"/>
        <w:autoSpaceDN w:val="0"/>
        <w:jc w:val="both"/>
        <w:rPr>
          <w:rFonts w:ascii="Verdana" w:hAnsi="Verdana" w:cstheme="minorHAnsi"/>
          <w:sz w:val="22"/>
          <w:szCs w:val="22"/>
        </w:rPr>
      </w:pPr>
      <w:r w:rsidRPr="001606C5">
        <w:rPr>
          <w:rFonts w:ascii="Verdana" w:hAnsi="Verdana" w:cstheme="minorHAnsi"/>
          <w:sz w:val="22"/>
          <w:szCs w:val="22"/>
        </w:rPr>
        <w:t>Fluency in written and oral Ukrainian and English.</w:t>
      </w:r>
      <w:bookmarkStart w:id="6" w:name="_Toc424210182"/>
    </w:p>
    <w:p w:rsidR="00230A64" w:rsidRPr="00230A64" w:rsidRDefault="00230A64" w:rsidP="00033769">
      <w:pPr>
        <w:pStyle w:val="ListParagraph"/>
        <w:widowControl w:val="0"/>
        <w:autoSpaceDE w:val="0"/>
        <w:autoSpaceDN w:val="0"/>
        <w:jc w:val="both"/>
        <w:rPr>
          <w:rFonts w:ascii="Verdana" w:hAnsi="Verdana" w:cstheme="minorHAnsi"/>
          <w:sz w:val="22"/>
          <w:szCs w:val="22"/>
        </w:rPr>
      </w:pPr>
    </w:p>
    <w:p w:rsidR="00CC6F81" w:rsidRPr="00036A21" w:rsidRDefault="00CC6F81" w:rsidP="00033769">
      <w:pPr>
        <w:pStyle w:val="ListParagraph"/>
        <w:numPr>
          <w:ilvl w:val="0"/>
          <w:numId w:val="5"/>
        </w:numPr>
        <w:jc w:val="both"/>
        <w:rPr>
          <w:rFonts w:ascii="Verdana" w:hAnsi="Verdana" w:cstheme="minorHAnsi"/>
          <w:b/>
          <w:sz w:val="22"/>
          <w:szCs w:val="22"/>
        </w:rPr>
      </w:pPr>
      <w:r w:rsidRPr="00036A21">
        <w:rPr>
          <w:rFonts w:ascii="Verdana" w:hAnsi="Verdana" w:cstheme="minorHAnsi"/>
          <w:b/>
          <w:sz w:val="22"/>
          <w:szCs w:val="22"/>
        </w:rPr>
        <w:t>Monitoring and evaluation</w:t>
      </w:r>
      <w:bookmarkEnd w:id="6"/>
    </w:p>
    <w:p w:rsidR="00FC65B6" w:rsidRPr="00036A21" w:rsidRDefault="00FC65B6" w:rsidP="00033769">
      <w:pPr>
        <w:pStyle w:val="Text2"/>
        <w:spacing w:after="0"/>
        <w:ind w:left="0"/>
        <w:rPr>
          <w:rFonts w:ascii="Verdana" w:hAnsi="Verdana" w:cstheme="minorHAnsi"/>
          <w:sz w:val="22"/>
          <w:szCs w:val="22"/>
          <w:u w:val="single"/>
        </w:rPr>
      </w:pPr>
    </w:p>
    <w:p w:rsidR="00CC6F81" w:rsidRPr="00036A21" w:rsidRDefault="00CC6F81" w:rsidP="00033769">
      <w:pPr>
        <w:pStyle w:val="Text2"/>
        <w:spacing w:after="0"/>
        <w:ind w:left="0"/>
        <w:rPr>
          <w:rFonts w:ascii="Verdana" w:hAnsi="Verdana" w:cstheme="minorHAnsi"/>
          <w:sz w:val="22"/>
          <w:szCs w:val="22"/>
          <w:u w:val="single"/>
        </w:rPr>
      </w:pPr>
      <w:r w:rsidRPr="00036A21">
        <w:rPr>
          <w:rFonts w:ascii="Verdana" w:hAnsi="Verdana" w:cstheme="minorHAnsi"/>
          <w:sz w:val="22"/>
          <w:szCs w:val="22"/>
          <w:u w:val="single"/>
        </w:rPr>
        <w:t>Definition of indicators</w:t>
      </w:r>
    </w:p>
    <w:p w:rsidR="00CC6F81" w:rsidRPr="00036A21" w:rsidRDefault="00CC6F81" w:rsidP="00033769">
      <w:pPr>
        <w:pStyle w:val="Text2"/>
        <w:spacing w:after="0"/>
        <w:ind w:left="0"/>
        <w:rPr>
          <w:rFonts w:ascii="Verdana" w:hAnsi="Verdana" w:cstheme="minorHAnsi"/>
          <w:sz w:val="22"/>
          <w:szCs w:val="22"/>
        </w:rPr>
      </w:pPr>
      <w:r w:rsidRPr="00036A21">
        <w:rPr>
          <w:rFonts w:ascii="Verdana" w:hAnsi="Verdana" w:cstheme="minorHAnsi"/>
          <w:sz w:val="22"/>
          <w:szCs w:val="22"/>
        </w:rPr>
        <w:t xml:space="preserve">The performance of the </w:t>
      </w:r>
      <w:r w:rsidR="00036A21" w:rsidRPr="00036A21">
        <w:rPr>
          <w:rFonts w:ascii="Verdana" w:hAnsi="Verdana" w:cstheme="minorHAnsi"/>
          <w:sz w:val="22"/>
          <w:szCs w:val="22"/>
        </w:rPr>
        <w:t>c</w:t>
      </w:r>
      <w:r w:rsidRPr="00036A21">
        <w:rPr>
          <w:rFonts w:ascii="Verdana" w:hAnsi="Verdana" w:cstheme="minorHAnsi"/>
          <w:sz w:val="22"/>
          <w:szCs w:val="22"/>
        </w:rPr>
        <w:t>ontractor will be judged upon reaching the purpose of this contract as well as obtaining its results, as indicated in the section</w:t>
      </w:r>
      <w:r w:rsidR="00412507">
        <w:rPr>
          <w:rFonts w:ascii="Verdana" w:hAnsi="Verdana" w:cstheme="minorHAnsi"/>
          <w:sz w:val="22"/>
          <w:szCs w:val="22"/>
        </w:rPr>
        <w:t>s</w:t>
      </w:r>
      <w:r w:rsidRPr="00036A21">
        <w:rPr>
          <w:rFonts w:ascii="Verdana" w:hAnsi="Verdana" w:cstheme="minorHAnsi"/>
          <w:sz w:val="22"/>
          <w:szCs w:val="22"/>
        </w:rPr>
        <w:t xml:space="preserve"> </w:t>
      </w:r>
      <w:r w:rsidR="00036A21" w:rsidRPr="00036A21">
        <w:rPr>
          <w:rFonts w:ascii="Verdana" w:hAnsi="Verdana" w:cstheme="minorHAnsi"/>
          <w:sz w:val="22"/>
          <w:szCs w:val="22"/>
        </w:rPr>
        <w:t>“</w:t>
      </w:r>
      <w:r w:rsidRPr="00036A21">
        <w:rPr>
          <w:rFonts w:ascii="Verdana" w:hAnsi="Verdana" w:cstheme="minorHAnsi"/>
          <w:sz w:val="22"/>
          <w:szCs w:val="22"/>
        </w:rPr>
        <w:t>Objective</w:t>
      </w:r>
      <w:r w:rsidR="00412507">
        <w:rPr>
          <w:rFonts w:ascii="Verdana" w:hAnsi="Verdana" w:cstheme="minorHAnsi"/>
          <w:sz w:val="22"/>
          <w:szCs w:val="22"/>
        </w:rPr>
        <w:t>s</w:t>
      </w:r>
      <w:r w:rsidRPr="00036A21">
        <w:rPr>
          <w:rFonts w:ascii="Verdana" w:hAnsi="Verdana" w:cstheme="minorHAnsi"/>
          <w:sz w:val="22"/>
          <w:szCs w:val="22"/>
        </w:rPr>
        <w:t>” and “</w:t>
      </w:r>
      <w:r w:rsidR="00412507">
        <w:rPr>
          <w:rFonts w:ascii="Verdana" w:hAnsi="Verdana" w:cstheme="minorHAnsi"/>
          <w:sz w:val="22"/>
          <w:szCs w:val="22"/>
        </w:rPr>
        <w:t>Expected Deliverables</w:t>
      </w:r>
      <w:r w:rsidRPr="00036A21">
        <w:rPr>
          <w:rFonts w:ascii="Verdana" w:hAnsi="Verdana" w:cstheme="minorHAnsi"/>
          <w:sz w:val="22"/>
          <w:szCs w:val="22"/>
        </w:rPr>
        <w:t xml:space="preserve">” herein respectively. Moreover, the performance of the </w:t>
      </w:r>
      <w:r w:rsidR="00036A21" w:rsidRPr="00036A21">
        <w:rPr>
          <w:rFonts w:ascii="Verdana" w:hAnsi="Verdana" w:cstheme="minorHAnsi"/>
          <w:sz w:val="22"/>
          <w:szCs w:val="22"/>
        </w:rPr>
        <w:t>c</w:t>
      </w:r>
      <w:r w:rsidRPr="00036A21">
        <w:rPr>
          <w:rFonts w:ascii="Verdana" w:hAnsi="Verdana" w:cstheme="minorHAnsi"/>
          <w:sz w:val="22"/>
          <w:szCs w:val="22"/>
        </w:rPr>
        <w:t>ontractor</w:t>
      </w:r>
      <w:r w:rsidR="00036A21" w:rsidRPr="00036A21">
        <w:rPr>
          <w:rFonts w:ascii="Verdana" w:hAnsi="Verdana" w:cstheme="minorHAnsi"/>
          <w:sz w:val="22"/>
          <w:szCs w:val="22"/>
        </w:rPr>
        <w:t>s</w:t>
      </w:r>
      <w:r w:rsidRPr="00036A21">
        <w:rPr>
          <w:rFonts w:ascii="Verdana" w:hAnsi="Verdana" w:cstheme="minorHAnsi"/>
          <w:sz w:val="22"/>
          <w:szCs w:val="22"/>
        </w:rPr>
        <w:t xml:space="preserve"> will be judged upon successful implementation of all the specific activities indicated</w:t>
      </w:r>
      <w:r w:rsidR="00036A21" w:rsidRPr="00036A21">
        <w:rPr>
          <w:rFonts w:ascii="Verdana" w:hAnsi="Verdana" w:cstheme="minorHAnsi"/>
          <w:sz w:val="22"/>
          <w:szCs w:val="22"/>
        </w:rPr>
        <w:t xml:space="preserve"> above</w:t>
      </w:r>
      <w:r w:rsidRPr="00036A21">
        <w:rPr>
          <w:rFonts w:ascii="Verdana" w:hAnsi="Verdana" w:cstheme="minorHAnsi"/>
          <w:sz w:val="22"/>
          <w:szCs w:val="22"/>
        </w:rPr>
        <w:t>.</w:t>
      </w:r>
    </w:p>
    <w:p w:rsidR="00FC65B6" w:rsidRPr="00036A21" w:rsidRDefault="00FC65B6" w:rsidP="00033769">
      <w:pPr>
        <w:pStyle w:val="Text2"/>
        <w:spacing w:after="0"/>
        <w:ind w:left="0"/>
        <w:rPr>
          <w:rFonts w:ascii="Verdana" w:hAnsi="Verdana" w:cstheme="minorHAnsi"/>
          <w:sz w:val="22"/>
          <w:szCs w:val="22"/>
          <w:u w:val="single"/>
        </w:rPr>
      </w:pPr>
    </w:p>
    <w:p w:rsidR="00CC6F81" w:rsidRPr="00036A21" w:rsidRDefault="00CC6F81" w:rsidP="00033769">
      <w:pPr>
        <w:pStyle w:val="Text2"/>
        <w:spacing w:after="0"/>
        <w:ind w:left="0"/>
        <w:rPr>
          <w:rFonts w:ascii="Verdana" w:hAnsi="Verdana" w:cstheme="minorHAnsi"/>
          <w:sz w:val="22"/>
          <w:szCs w:val="22"/>
          <w:u w:val="single"/>
        </w:rPr>
      </w:pPr>
      <w:r w:rsidRPr="00036A21">
        <w:rPr>
          <w:rFonts w:ascii="Verdana" w:hAnsi="Verdana" w:cstheme="minorHAnsi"/>
          <w:sz w:val="22"/>
          <w:szCs w:val="22"/>
          <w:u w:val="single"/>
        </w:rPr>
        <w:t xml:space="preserve">Special requirements </w:t>
      </w:r>
    </w:p>
    <w:p w:rsidR="00B30350" w:rsidRPr="00036A21" w:rsidRDefault="00CC6F81" w:rsidP="00033769">
      <w:pPr>
        <w:spacing w:line="240" w:lineRule="auto"/>
        <w:rPr>
          <w:rFonts w:ascii="Verdana" w:hAnsi="Verdana" w:cstheme="minorHAnsi"/>
          <w:lang w:val="en-GB"/>
        </w:rPr>
      </w:pPr>
      <w:r w:rsidRPr="00036A21">
        <w:rPr>
          <w:rFonts w:ascii="Verdana" w:hAnsi="Verdana" w:cstheme="minorHAnsi"/>
          <w:lang w:val="en-GB"/>
        </w:rPr>
        <w:t xml:space="preserve">By signing the contract, the </w:t>
      </w:r>
      <w:r w:rsidR="00036A21" w:rsidRPr="00036A21">
        <w:rPr>
          <w:rFonts w:ascii="Verdana" w:hAnsi="Verdana" w:cstheme="minorHAnsi"/>
          <w:lang w:val="en-GB"/>
        </w:rPr>
        <w:t>c</w:t>
      </w:r>
      <w:r w:rsidRPr="00036A21">
        <w:rPr>
          <w:rFonts w:ascii="Verdana" w:hAnsi="Verdana" w:cstheme="minorHAnsi"/>
          <w:lang w:val="en-GB"/>
        </w:rPr>
        <w:t>ontractor</w:t>
      </w:r>
      <w:r w:rsidR="00036A21" w:rsidRPr="00036A21">
        <w:rPr>
          <w:rFonts w:ascii="Verdana" w:hAnsi="Verdana" w:cstheme="minorHAnsi"/>
          <w:lang w:val="en-GB"/>
        </w:rPr>
        <w:t>s</w:t>
      </w:r>
      <w:r w:rsidRPr="00036A21">
        <w:rPr>
          <w:rFonts w:ascii="Verdana" w:hAnsi="Verdana" w:cstheme="minorHAnsi"/>
          <w:lang w:val="en-GB"/>
        </w:rPr>
        <w:t xml:space="preserve"> agree to hold in trust and confidence any information or documents ("confidential information"), disclosed to the </w:t>
      </w:r>
      <w:r w:rsidR="00036A21" w:rsidRPr="00036A21">
        <w:rPr>
          <w:rFonts w:ascii="Verdana" w:hAnsi="Verdana" w:cstheme="minorHAnsi"/>
          <w:lang w:val="en-GB"/>
        </w:rPr>
        <w:t>c</w:t>
      </w:r>
      <w:r w:rsidRPr="00036A21">
        <w:rPr>
          <w:rFonts w:ascii="Verdana" w:hAnsi="Verdana" w:cstheme="minorHAnsi"/>
          <w:lang w:val="en-GB"/>
        </w:rPr>
        <w:t>ontractor</w:t>
      </w:r>
      <w:r w:rsidR="00036A21" w:rsidRPr="00036A21">
        <w:rPr>
          <w:rFonts w:ascii="Verdana" w:hAnsi="Verdana" w:cstheme="minorHAnsi"/>
          <w:lang w:val="en-GB"/>
        </w:rPr>
        <w:t>s</w:t>
      </w:r>
      <w:r w:rsidRPr="00036A21">
        <w:rPr>
          <w:rFonts w:ascii="Verdana" w:hAnsi="Verdana" w:cstheme="minorHAnsi"/>
          <w:lang w:val="en-GB"/>
        </w:rPr>
        <w:t xml:space="preserve"> or discovered by the </w:t>
      </w:r>
      <w:r w:rsidR="00036A21" w:rsidRPr="00036A21">
        <w:rPr>
          <w:rFonts w:ascii="Verdana" w:hAnsi="Verdana" w:cstheme="minorHAnsi"/>
          <w:lang w:val="en-GB"/>
        </w:rPr>
        <w:t>c</w:t>
      </w:r>
      <w:r w:rsidRPr="00036A21">
        <w:rPr>
          <w:rFonts w:ascii="Verdana" w:hAnsi="Verdana" w:cstheme="minorHAnsi"/>
          <w:lang w:val="en-GB"/>
        </w:rPr>
        <w:t>ontractor</w:t>
      </w:r>
      <w:r w:rsidR="00036A21" w:rsidRPr="00036A21">
        <w:rPr>
          <w:rFonts w:ascii="Verdana" w:hAnsi="Verdana" w:cstheme="minorHAnsi"/>
          <w:lang w:val="en-GB"/>
        </w:rPr>
        <w:t>s</w:t>
      </w:r>
      <w:r w:rsidRPr="00036A21">
        <w:rPr>
          <w:rFonts w:ascii="Verdana" w:hAnsi="Verdana" w:cstheme="minorHAnsi"/>
          <w:lang w:val="en-GB"/>
        </w:rPr>
        <w:t xml:space="preserve"> or prepared by the </w:t>
      </w:r>
      <w:r w:rsidR="00036A21" w:rsidRPr="00036A21">
        <w:rPr>
          <w:rFonts w:ascii="Verdana" w:hAnsi="Verdana" w:cstheme="minorHAnsi"/>
          <w:lang w:val="en-GB"/>
        </w:rPr>
        <w:t>c</w:t>
      </w:r>
      <w:r w:rsidRPr="00036A21">
        <w:rPr>
          <w:rFonts w:ascii="Verdana" w:hAnsi="Verdana" w:cstheme="minorHAnsi"/>
          <w:lang w:val="en-GB"/>
        </w:rPr>
        <w:t>ontractor</w:t>
      </w:r>
      <w:r w:rsidR="00036A21" w:rsidRPr="00036A21">
        <w:rPr>
          <w:rFonts w:ascii="Verdana" w:hAnsi="Verdana" w:cstheme="minorHAnsi"/>
          <w:lang w:val="en-GB"/>
        </w:rPr>
        <w:t>s</w:t>
      </w:r>
      <w:r w:rsidRPr="00036A21">
        <w:rPr>
          <w:rFonts w:ascii="Verdana" w:hAnsi="Verdana" w:cstheme="minorHAnsi"/>
          <w:lang w:val="en-GB"/>
        </w:rPr>
        <w:t xml:space="preserve"> in the course of or as a result of the implementation of the contract, and agrees that it shall be used only for the purposes of the contract implementation and shall not be disclosed to any third party.</w:t>
      </w:r>
    </w:p>
    <w:p w:rsidR="00412507" w:rsidRDefault="00036A21" w:rsidP="00033769">
      <w:pPr>
        <w:spacing w:after="0" w:line="240" w:lineRule="auto"/>
        <w:jc w:val="both"/>
        <w:rPr>
          <w:rFonts w:ascii="Verdana" w:hAnsi="Verdana" w:cs="Times New Roman"/>
          <w:lang w:val="en-GB"/>
        </w:rPr>
      </w:pPr>
      <w:r w:rsidRPr="00036A21">
        <w:rPr>
          <w:rFonts w:ascii="Verdana" w:hAnsi="Verdana" w:cs="Times New Roman"/>
          <w:lang w:val="en-GB"/>
        </w:rPr>
        <w:t>The contractor report</w:t>
      </w:r>
      <w:r w:rsidR="00D82F51">
        <w:rPr>
          <w:rFonts w:ascii="Verdana" w:hAnsi="Verdana" w:cs="Times New Roman"/>
          <w:lang w:val="en-GB"/>
        </w:rPr>
        <w:t>s</w:t>
      </w:r>
      <w:r w:rsidRPr="00036A21">
        <w:rPr>
          <w:rFonts w:ascii="Verdana" w:hAnsi="Verdana" w:cs="Times New Roman"/>
          <w:lang w:val="en-GB"/>
        </w:rPr>
        <w:t xml:space="preserve"> to the EUACI and </w:t>
      </w:r>
      <w:r w:rsidR="00D82F51">
        <w:rPr>
          <w:rFonts w:ascii="Verdana" w:hAnsi="Verdana" w:cs="Times New Roman"/>
          <w:lang w:val="en-GB"/>
        </w:rPr>
        <w:t xml:space="preserve">the Senior Project Manager of the HACC Support Group. The contractor </w:t>
      </w:r>
      <w:r w:rsidRPr="00036A21">
        <w:rPr>
          <w:rFonts w:ascii="Verdana" w:hAnsi="Verdana" w:cs="Times New Roman"/>
          <w:lang w:val="en-GB"/>
        </w:rPr>
        <w:t>shall be briefed prior to starting with the assignment. The contractor shall de-brief the EUACI prior to finalising the assignment.</w:t>
      </w:r>
      <w:r w:rsidR="00412507">
        <w:rPr>
          <w:rFonts w:ascii="Verdana" w:hAnsi="Verdana" w:cs="Times New Roman"/>
          <w:lang w:val="en-GB"/>
        </w:rPr>
        <w:t xml:space="preserve"> </w:t>
      </w:r>
    </w:p>
    <w:p w:rsidR="00412507" w:rsidRDefault="00412507" w:rsidP="00033769">
      <w:pPr>
        <w:spacing w:after="0" w:line="240" w:lineRule="auto"/>
        <w:jc w:val="both"/>
        <w:rPr>
          <w:rFonts w:ascii="Verdana" w:hAnsi="Verdana" w:cs="Times New Roman"/>
          <w:lang w:val="en-GB"/>
        </w:rPr>
      </w:pPr>
    </w:p>
    <w:p w:rsidR="00036A21" w:rsidRPr="00036A21" w:rsidRDefault="00412507" w:rsidP="00033769">
      <w:pPr>
        <w:spacing w:after="0" w:line="240" w:lineRule="auto"/>
        <w:jc w:val="both"/>
        <w:rPr>
          <w:rFonts w:ascii="Verdana" w:hAnsi="Verdana" w:cs="Times New Roman"/>
          <w:lang w:val="en-GB"/>
        </w:rPr>
      </w:pPr>
      <w:r>
        <w:rPr>
          <w:rFonts w:ascii="Verdana" w:hAnsi="Verdana" w:cs="Times New Roman"/>
          <w:lang w:val="en-GB"/>
        </w:rPr>
        <w:t>The contractor shall immediately inform the EUACI after 50% and again after 75% use of the overall foreseen working days under this contract.</w:t>
      </w:r>
    </w:p>
    <w:p w:rsidR="00036A21" w:rsidRPr="00036A21" w:rsidRDefault="00036A21" w:rsidP="00033769">
      <w:pPr>
        <w:spacing w:line="240" w:lineRule="auto"/>
        <w:rPr>
          <w:rFonts w:ascii="Verdana" w:hAnsi="Verdana" w:cstheme="minorHAnsi"/>
          <w:lang w:val="en-GB"/>
        </w:rPr>
      </w:pPr>
    </w:p>
    <w:p w:rsidR="00CC6F81" w:rsidRPr="00036A21" w:rsidRDefault="00CC6F81" w:rsidP="00033769">
      <w:pPr>
        <w:pStyle w:val="ListParagraph"/>
        <w:numPr>
          <w:ilvl w:val="0"/>
          <w:numId w:val="5"/>
        </w:numPr>
        <w:rPr>
          <w:rFonts w:ascii="Verdana" w:hAnsi="Verdana" w:cstheme="minorHAnsi"/>
          <w:b/>
          <w:sz w:val="22"/>
          <w:szCs w:val="22"/>
        </w:rPr>
      </w:pPr>
      <w:r w:rsidRPr="00036A21">
        <w:rPr>
          <w:rFonts w:ascii="Verdana" w:hAnsi="Verdana" w:cstheme="minorHAnsi"/>
          <w:b/>
          <w:sz w:val="22"/>
          <w:szCs w:val="22"/>
        </w:rPr>
        <w:t xml:space="preserve">Cross-cutting issues (integration of </w:t>
      </w:r>
      <w:r w:rsidR="003B4108" w:rsidRPr="00036A21">
        <w:rPr>
          <w:rFonts w:ascii="Verdana" w:hAnsi="Verdana" w:cstheme="minorHAnsi"/>
          <w:b/>
          <w:sz w:val="22"/>
          <w:szCs w:val="22"/>
        </w:rPr>
        <w:t>the youth, equal opportunities)</w:t>
      </w:r>
    </w:p>
    <w:p w:rsidR="003B4108" w:rsidRPr="00036A21" w:rsidRDefault="003B4108" w:rsidP="00033769">
      <w:pPr>
        <w:pStyle w:val="ListParagraph"/>
        <w:rPr>
          <w:rFonts w:ascii="Verdana" w:hAnsi="Verdana" w:cstheme="minorHAnsi"/>
          <w:b/>
          <w:sz w:val="22"/>
          <w:szCs w:val="22"/>
        </w:rPr>
      </w:pPr>
    </w:p>
    <w:p w:rsidR="00CC6F81" w:rsidRDefault="00CC6F81" w:rsidP="00033769">
      <w:pPr>
        <w:spacing w:line="240" w:lineRule="auto"/>
        <w:rPr>
          <w:rFonts w:ascii="Verdana" w:hAnsi="Verdana" w:cstheme="minorHAnsi"/>
          <w:lang w:val="en-GB"/>
        </w:rPr>
      </w:pPr>
      <w:r w:rsidRPr="00036A21">
        <w:rPr>
          <w:rFonts w:ascii="Verdana" w:hAnsi="Verdana" w:cstheme="minorHAnsi"/>
          <w:lang w:val="en-GB"/>
        </w:rPr>
        <w:t xml:space="preserve">The </w:t>
      </w:r>
      <w:r w:rsidR="00036A21" w:rsidRPr="00036A21">
        <w:rPr>
          <w:rFonts w:ascii="Verdana" w:hAnsi="Verdana" w:cs="Times New Roman"/>
          <w:lang w:val="en-GB"/>
        </w:rPr>
        <w:t xml:space="preserve">assignment </w:t>
      </w:r>
      <w:r w:rsidRPr="00036A21">
        <w:rPr>
          <w:rFonts w:ascii="Verdana" w:hAnsi="Verdana" w:cstheme="minorHAnsi"/>
          <w:lang w:val="en-GB"/>
        </w:rPr>
        <w:t>will be implemented ensuring equal opportunities for men and women and integration of the youth.</w:t>
      </w:r>
    </w:p>
    <w:p w:rsidR="00BB75E2" w:rsidRDefault="00BB75E2" w:rsidP="00033769">
      <w:pPr>
        <w:spacing w:line="240" w:lineRule="auto"/>
        <w:rPr>
          <w:rFonts w:ascii="Verdana" w:hAnsi="Verdana" w:cstheme="minorHAnsi"/>
          <w:lang w:val="en-GB"/>
        </w:rPr>
      </w:pPr>
    </w:p>
    <w:p w:rsidR="00BB75E2" w:rsidRPr="00BB75E2" w:rsidRDefault="00BB75E2" w:rsidP="00BB75E2">
      <w:pPr>
        <w:pStyle w:val="ListParagraph"/>
        <w:numPr>
          <w:ilvl w:val="0"/>
          <w:numId w:val="5"/>
        </w:numPr>
        <w:rPr>
          <w:rFonts w:ascii="Verdana" w:hAnsi="Verdana" w:cstheme="minorHAnsi"/>
          <w:b/>
          <w:sz w:val="22"/>
          <w:szCs w:val="22"/>
        </w:rPr>
      </w:pPr>
      <w:r w:rsidRPr="00BB75E2">
        <w:rPr>
          <w:rFonts w:ascii="Verdana" w:hAnsi="Verdana" w:cstheme="minorHAnsi"/>
          <w:b/>
          <w:sz w:val="22"/>
          <w:szCs w:val="22"/>
        </w:rPr>
        <w:lastRenderedPageBreak/>
        <w:t>Selection</w:t>
      </w:r>
    </w:p>
    <w:p w:rsidR="00BB75E2" w:rsidRPr="009C7D1E" w:rsidRDefault="00BB75E2" w:rsidP="00BB75E2">
      <w:pPr>
        <w:pStyle w:val="ListParagraph"/>
        <w:spacing w:line="276" w:lineRule="auto"/>
        <w:rPr>
          <w:rFonts w:ascii="Verdana" w:hAnsi="Verdana" w:cstheme="minorHAnsi"/>
          <w:b/>
        </w:rPr>
      </w:pPr>
    </w:p>
    <w:p w:rsidR="00BB75E2" w:rsidRPr="00EF763A" w:rsidRDefault="00BB75E2" w:rsidP="00BB75E2">
      <w:pPr>
        <w:jc w:val="both"/>
        <w:rPr>
          <w:rFonts w:ascii="Verdana" w:hAnsi="Verdana" w:cstheme="minorHAnsi"/>
          <w:lang w:val="en-GB"/>
        </w:rPr>
      </w:pPr>
      <w:r w:rsidRPr="00EF763A">
        <w:rPr>
          <w:rFonts w:ascii="Verdana" w:hAnsi="Verdana" w:cstheme="minorHAnsi"/>
          <w:lang w:val="en-GB"/>
        </w:rPr>
        <w:t>CV, motivation letter</w:t>
      </w:r>
      <w:r>
        <w:rPr>
          <w:rFonts w:ascii="Verdana" w:hAnsi="Verdana" w:cstheme="minorHAnsi"/>
          <w:lang w:val="en-GB"/>
        </w:rPr>
        <w:t xml:space="preserve">, </w:t>
      </w:r>
      <w:r w:rsidRPr="00EF763A">
        <w:rPr>
          <w:rFonts w:ascii="Verdana" w:hAnsi="Verdana" w:cstheme="minorHAnsi"/>
          <w:lang w:val="en-US"/>
        </w:rPr>
        <w:t xml:space="preserve">indication of required </w:t>
      </w:r>
      <w:r>
        <w:rPr>
          <w:rFonts w:ascii="Verdana" w:hAnsi="Verdana" w:cstheme="minorHAnsi"/>
          <w:lang w:val="en-US"/>
        </w:rPr>
        <w:t xml:space="preserve">expert </w:t>
      </w:r>
      <w:r w:rsidRPr="00EF763A">
        <w:rPr>
          <w:rFonts w:ascii="Verdana" w:hAnsi="Verdana" w:cstheme="minorHAnsi"/>
          <w:lang w:val="en-US"/>
        </w:rPr>
        <w:t>fee level</w:t>
      </w:r>
      <w:r>
        <w:rPr>
          <w:rFonts w:ascii="Verdana" w:hAnsi="Verdana" w:cstheme="minorHAnsi"/>
          <w:lang w:val="en-GB"/>
        </w:rPr>
        <w:t xml:space="preserve"> </w:t>
      </w:r>
      <w:r w:rsidRPr="00EF763A">
        <w:rPr>
          <w:rFonts w:ascii="Verdana" w:hAnsi="Verdana" w:cstheme="minorHAnsi"/>
          <w:lang w:val="en-GB"/>
        </w:rPr>
        <w:t>and contact information of at least two references shall be submitted to the e-mail: </w:t>
      </w:r>
      <w:hyperlink r:id="rId8" w:history="1">
        <w:r w:rsidRPr="00EF763A">
          <w:rPr>
            <w:rStyle w:val="Hyperlink"/>
            <w:rFonts w:ascii="Verdana" w:hAnsi="Verdana" w:cstheme="minorHAnsi"/>
            <w:lang w:val="en-GB"/>
          </w:rPr>
          <w:t>barjam@ukraine-aci.com@ukraine-aci.com</w:t>
        </w:r>
      </w:hyperlink>
      <w:r w:rsidRPr="00EF763A">
        <w:rPr>
          <w:rFonts w:ascii="Verdana" w:hAnsi="Verdana" w:cstheme="minorHAnsi"/>
          <w:lang w:val="en-GB"/>
        </w:rPr>
        <w:t xml:space="preserve"> with the subject: Senior </w:t>
      </w:r>
      <w:r>
        <w:rPr>
          <w:rFonts w:ascii="Verdana" w:hAnsi="Verdana" w:cstheme="minorHAnsi"/>
          <w:lang w:val="en-GB"/>
        </w:rPr>
        <w:t>Project Manager</w:t>
      </w:r>
      <w:r w:rsidRPr="00EF763A">
        <w:rPr>
          <w:rFonts w:ascii="Verdana" w:hAnsi="Verdana" w:cstheme="minorHAnsi"/>
          <w:lang w:val="en-GB"/>
        </w:rPr>
        <w:t xml:space="preserve"> HACC</w:t>
      </w:r>
      <w:r>
        <w:rPr>
          <w:rFonts w:ascii="Verdana" w:hAnsi="Verdana" w:cstheme="minorHAnsi"/>
          <w:lang w:val="en-GB"/>
        </w:rPr>
        <w:t>.</w:t>
      </w:r>
    </w:p>
    <w:p w:rsidR="00BB75E2" w:rsidRPr="00EF763A" w:rsidRDefault="00BB75E2" w:rsidP="00BB75E2">
      <w:pPr>
        <w:rPr>
          <w:rFonts w:ascii="Verdana" w:hAnsi="Verdana" w:cstheme="minorHAnsi"/>
          <w:lang w:val="en-GB"/>
        </w:rPr>
      </w:pPr>
      <w:r w:rsidRPr="00EF763A">
        <w:rPr>
          <w:rFonts w:ascii="Verdana" w:hAnsi="Verdana" w:cstheme="minorHAnsi"/>
          <w:lang w:val="en-GB"/>
        </w:rPr>
        <w:t>Deadline for applications is March 10 (Sunday).</w:t>
      </w:r>
    </w:p>
    <w:p w:rsidR="00BB75E2" w:rsidRPr="00EF763A" w:rsidRDefault="00BB75E2" w:rsidP="00BB75E2">
      <w:pPr>
        <w:rPr>
          <w:rFonts w:ascii="Verdana" w:hAnsi="Verdana" w:cstheme="minorHAnsi"/>
          <w:lang w:val="en-GB"/>
        </w:rPr>
      </w:pPr>
      <w:r w:rsidRPr="00EF763A">
        <w:rPr>
          <w:rFonts w:ascii="Verdana" w:hAnsi="Verdana" w:cstheme="minorHAnsi"/>
          <w:lang w:val="en-GB"/>
        </w:rPr>
        <w:t>The candidate will be selected in two stages:</w:t>
      </w:r>
    </w:p>
    <w:p w:rsidR="00BB75E2" w:rsidRPr="00EF763A" w:rsidRDefault="00BB75E2" w:rsidP="00BB75E2">
      <w:pPr>
        <w:rPr>
          <w:rFonts w:ascii="Verdana" w:hAnsi="Verdana" w:cstheme="minorHAnsi"/>
          <w:lang w:val="en-GB"/>
        </w:rPr>
      </w:pPr>
      <w:r w:rsidRPr="00EF763A">
        <w:rPr>
          <w:rFonts w:ascii="Verdana" w:hAnsi="Verdana" w:cstheme="minorHAnsi"/>
          <w:lang w:val="en-GB"/>
        </w:rPr>
        <w:t>1. Assessment of received applications against the requirements listed in this announcement;</w:t>
      </w:r>
    </w:p>
    <w:p w:rsidR="00BB75E2" w:rsidRPr="00EF763A" w:rsidRDefault="00BB75E2" w:rsidP="00BB75E2">
      <w:pPr>
        <w:rPr>
          <w:rFonts w:ascii="Verdana" w:hAnsi="Verdana" w:cstheme="minorHAnsi"/>
          <w:lang w:val="en-GB"/>
        </w:rPr>
      </w:pPr>
      <w:r w:rsidRPr="00EF763A">
        <w:rPr>
          <w:rFonts w:ascii="Verdana" w:hAnsi="Verdana" w:cstheme="minorHAnsi"/>
          <w:lang w:val="en-GB"/>
        </w:rPr>
        <w:t>2. Interview with the EUACI.</w:t>
      </w:r>
    </w:p>
    <w:p w:rsidR="00BB75E2" w:rsidRPr="00BB75E2" w:rsidRDefault="00BB75E2" w:rsidP="00BB75E2">
      <w:pPr>
        <w:rPr>
          <w:rFonts w:ascii="Verdana" w:hAnsi="Verdana" w:cstheme="minorHAnsi"/>
          <w:lang w:val="en-GB"/>
        </w:rPr>
      </w:pPr>
      <w:r w:rsidRPr="00EF763A">
        <w:rPr>
          <w:rFonts w:ascii="Verdana" w:hAnsi="Verdana" w:cstheme="minorHAnsi"/>
          <w:lang w:val="en-GB"/>
        </w:rPr>
        <w:t>For any questions, please contact Halyna Kokhan, Anti-Corruption Expert at EUACI (</w:t>
      </w:r>
      <w:hyperlink r:id="rId9" w:history="1">
        <w:r w:rsidRPr="00EF763A">
          <w:rPr>
            <w:rStyle w:val="Hyperlink"/>
            <w:rFonts w:ascii="Verdana" w:hAnsi="Verdana" w:cstheme="minorHAnsi"/>
            <w:lang w:val="en-GB"/>
          </w:rPr>
          <w:t>halkok@ukraine-aci.com@ukraine-aci.com</w:t>
        </w:r>
      </w:hyperlink>
      <w:r w:rsidRPr="00EF763A">
        <w:rPr>
          <w:rFonts w:ascii="Verdana" w:hAnsi="Verdana" w:cstheme="minorHAnsi"/>
          <w:lang w:val="en-GB"/>
        </w:rPr>
        <w:t>)</w:t>
      </w:r>
      <w:r>
        <w:rPr>
          <w:rFonts w:ascii="Verdana" w:hAnsi="Verdana" w:cstheme="minorHAnsi"/>
          <w:lang w:val="en-GB"/>
        </w:rPr>
        <w:t>.</w:t>
      </w:r>
    </w:p>
    <w:p w:rsidR="00AA40A6" w:rsidRDefault="00BB085E" w:rsidP="00D82F51">
      <w:pPr>
        <w:spacing w:line="240" w:lineRule="auto"/>
        <w:jc w:val="center"/>
        <w:rPr>
          <w:rFonts w:ascii="Verdana" w:hAnsi="Verdana" w:cstheme="minorHAnsi"/>
          <w:lang w:val="en-GB"/>
        </w:rPr>
      </w:pPr>
      <w:r w:rsidRPr="00036A21">
        <w:rPr>
          <w:rFonts w:ascii="Verdana" w:hAnsi="Verdana" w:cstheme="minorHAnsi"/>
          <w:lang w:val="en-GB"/>
        </w:rPr>
        <w:t>*****</w:t>
      </w:r>
    </w:p>
    <w:p w:rsidR="00AA40A6" w:rsidRPr="00AA40A6" w:rsidRDefault="00AA40A6" w:rsidP="00033769">
      <w:pPr>
        <w:spacing w:line="240" w:lineRule="auto"/>
        <w:rPr>
          <w:rFonts w:ascii="Verdana" w:hAnsi="Verdana" w:cstheme="minorHAnsi"/>
          <w:b/>
          <w:u w:val="single"/>
          <w:lang w:val="en-GB"/>
        </w:rPr>
      </w:pPr>
      <w:r w:rsidRPr="00AA40A6">
        <w:rPr>
          <w:rFonts w:ascii="Verdana" w:hAnsi="Verdana" w:cstheme="minorHAnsi"/>
          <w:b/>
          <w:u w:val="single"/>
          <w:lang w:val="en-GB"/>
        </w:rPr>
        <w:t>Annex:</w:t>
      </w:r>
    </w:p>
    <w:p w:rsidR="00AA40A6" w:rsidRPr="00AA40A6" w:rsidRDefault="00AA40A6" w:rsidP="00033769">
      <w:pPr>
        <w:pStyle w:val="ListParagraph"/>
        <w:numPr>
          <w:ilvl w:val="0"/>
          <w:numId w:val="9"/>
        </w:numPr>
        <w:rPr>
          <w:rFonts w:ascii="Verdana" w:hAnsi="Verdana" w:cstheme="minorHAnsi"/>
          <w:sz w:val="22"/>
          <w:szCs w:val="22"/>
        </w:rPr>
      </w:pPr>
      <w:r w:rsidRPr="00AA40A6">
        <w:rPr>
          <w:rFonts w:ascii="Verdana" w:hAnsi="Verdana" w:cstheme="minorHAnsi"/>
          <w:sz w:val="22"/>
          <w:szCs w:val="22"/>
        </w:rPr>
        <w:t>Law of Ukraine on the High Anti-Corruption Court</w:t>
      </w:r>
    </w:p>
    <w:p w:rsidR="00C77EF1" w:rsidRDefault="00AA40A6" w:rsidP="00033769">
      <w:pPr>
        <w:pStyle w:val="ListParagraph"/>
        <w:numPr>
          <w:ilvl w:val="0"/>
          <w:numId w:val="9"/>
        </w:numPr>
        <w:rPr>
          <w:rFonts w:ascii="Verdana" w:hAnsi="Verdana" w:cstheme="minorHAnsi"/>
          <w:sz w:val="22"/>
          <w:szCs w:val="22"/>
        </w:rPr>
      </w:pPr>
      <w:r w:rsidRPr="00AA40A6">
        <w:rPr>
          <w:rFonts w:ascii="Verdana" w:hAnsi="Verdana" w:cstheme="minorHAnsi"/>
          <w:sz w:val="22"/>
          <w:szCs w:val="22"/>
        </w:rPr>
        <w:t>Process of High Anti-Corruption Court establishment</w:t>
      </w:r>
      <w:r w:rsidR="00C77EF1" w:rsidRPr="00C77EF1">
        <w:rPr>
          <w:rFonts w:ascii="Verdana" w:hAnsi="Verdana" w:cstheme="minorHAnsi"/>
          <w:sz w:val="22"/>
          <w:szCs w:val="22"/>
        </w:rPr>
        <w:t xml:space="preserve"> </w:t>
      </w:r>
    </w:p>
    <w:p w:rsidR="00AA40A6" w:rsidRPr="00C77EF1" w:rsidRDefault="00C77EF1" w:rsidP="00033769">
      <w:pPr>
        <w:pStyle w:val="ListParagraph"/>
        <w:numPr>
          <w:ilvl w:val="0"/>
          <w:numId w:val="9"/>
        </w:numPr>
        <w:rPr>
          <w:rFonts w:ascii="Verdana" w:hAnsi="Verdana" w:cstheme="minorHAnsi"/>
          <w:sz w:val="22"/>
          <w:szCs w:val="22"/>
        </w:rPr>
      </w:pPr>
      <w:r w:rsidRPr="00AA40A6">
        <w:rPr>
          <w:rFonts w:ascii="Verdana" w:hAnsi="Verdana" w:cstheme="minorHAnsi"/>
          <w:sz w:val="22"/>
          <w:szCs w:val="22"/>
        </w:rPr>
        <w:t>HACC Roadmap</w:t>
      </w:r>
    </w:p>
    <w:sectPr w:rsidR="00AA40A6" w:rsidRPr="00C77EF1" w:rsidSect="00E21090">
      <w:headerReference w:type="default" r:id="rId10"/>
      <w:footerReference w:type="default" r:id="rId11"/>
      <w:pgSz w:w="11906" w:h="16838"/>
      <w:pgMar w:top="2250" w:right="1196" w:bottom="2836" w:left="126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D0A" w:rsidRDefault="005A1D0A">
      <w:pPr>
        <w:spacing w:after="0" w:line="240" w:lineRule="auto"/>
      </w:pPr>
      <w:r>
        <w:separator/>
      </w:r>
    </w:p>
  </w:endnote>
  <w:endnote w:type="continuationSeparator" w:id="0">
    <w:p w:rsidR="005A1D0A" w:rsidRDefault="005A1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ED9" w:rsidRDefault="005F44E0" w:rsidP="005F44E0">
    <w:pPr>
      <w:pStyle w:val="Footer"/>
    </w:pPr>
    <w:r>
      <w:rPr>
        <w:noProof/>
        <w:lang w:val="en-GB" w:eastAsia="en-GB"/>
      </w:rPr>
      <w:drawing>
        <wp:inline distT="0" distB="0" distL="0" distR="0" wp14:anchorId="70C2DF6D" wp14:editId="7F025DD1">
          <wp:extent cx="2210669" cy="6823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1220" cy="685645"/>
                  </a:xfrm>
                  <a:prstGeom prst="rect">
                    <a:avLst/>
                  </a:prstGeom>
                </pic:spPr>
              </pic:pic>
            </a:graphicData>
          </a:graphic>
        </wp:inline>
      </w:drawing>
    </w:r>
    <w:r w:rsidR="00BD541D">
      <w:rPr>
        <w:lang w:val="en-US"/>
      </w:rPr>
      <w:t xml:space="preserve">                                                                                                             </w:t>
    </w:r>
  </w:p>
  <w:p w:rsidR="00CE4ED9" w:rsidRDefault="005A1D0A" w:rsidP="00302714">
    <w:pPr>
      <w:pStyle w:val="Footer"/>
      <w:spacing w:after="240"/>
      <w:ind w:left="-142" w:firstLine="14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D0A" w:rsidRDefault="005A1D0A">
      <w:pPr>
        <w:spacing w:after="0" w:line="240" w:lineRule="auto"/>
      </w:pPr>
      <w:r>
        <w:separator/>
      </w:r>
    </w:p>
  </w:footnote>
  <w:footnote w:type="continuationSeparator" w:id="0">
    <w:p w:rsidR="005A1D0A" w:rsidRDefault="005A1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CB8" w:rsidRDefault="005A1D0A" w:rsidP="00CE4ED9">
    <w:pPr>
      <w:pStyle w:val="Header"/>
      <w:rPr>
        <w:noProof/>
        <w:lang w:val="en-US" w:eastAsia="ru-RU"/>
      </w:rPr>
    </w:pPr>
  </w:p>
  <w:p w:rsidR="00194286" w:rsidRDefault="00BD541D" w:rsidP="003B4108">
    <w:pPr>
      <w:pStyle w:val="Header"/>
    </w:pPr>
    <w:r>
      <w:rPr>
        <w:noProof/>
        <w:lang w:val="en-GB" w:eastAsia="en-GB"/>
      </w:rPr>
      <w:drawing>
        <wp:inline distT="0" distB="0" distL="0" distR="0" wp14:anchorId="556F9AD2" wp14:editId="359358CF">
          <wp:extent cx="2210937" cy="681990"/>
          <wp:effectExtent l="0" t="0" r="0" b="381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hliys\AppData\Local\Microsoft\Windows\INetCache\Content.Word\blank-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717" t="27885" r="41052" b="26262"/>
                  <a:stretch/>
                </pic:blipFill>
                <pic:spPr bwMode="auto">
                  <a:xfrm>
                    <a:off x="0" y="0"/>
                    <a:ext cx="2230095" cy="687900"/>
                  </a:xfrm>
                  <a:prstGeom prst="rect">
                    <a:avLst/>
                  </a:prstGeom>
                  <a:noFill/>
                  <a:ln>
                    <a:noFill/>
                  </a:ln>
                  <a:extLst>
                    <a:ext uri="{53640926-AAD7-44D8-BBD7-CCE9431645EC}">
                      <a14:shadowObscured xmlns:a14="http://schemas.microsoft.com/office/drawing/2010/main"/>
                    </a:ext>
                  </a:extLst>
                </pic:spPr>
              </pic:pic>
            </a:graphicData>
          </a:graphic>
        </wp:inline>
      </w:drawing>
    </w:r>
  </w:p>
  <w:p w:rsidR="00194286" w:rsidRDefault="005A1D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1D98"/>
    <w:multiLevelType w:val="hybridMultilevel"/>
    <w:tmpl w:val="5A3C218C"/>
    <w:lvl w:ilvl="0" w:tplc="F9086A9C">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C11DE"/>
    <w:multiLevelType w:val="hybridMultilevel"/>
    <w:tmpl w:val="1AD83C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D2AF6"/>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C40CD7"/>
    <w:multiLevelType w:val="hybridMultilevel"/>
    <w:tmpl w:val="A296079A"/>
    <w:lvl w:ilvl="0" w:tplc="B0846CBA">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B75DF"/>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E12D51"/>
    <w:multiLevelType w:val="hybridMultilevel"/>
    <w:tmpl w:val="67B2A19A"/>
    <w:lvl w:ilvl="0" w:tplc="74F65E18">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5859EB"/>
    <w:multiLevelType w:val="hybridMultilevel"/>
    <w:tmpl w:val="544A1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B71298"/>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510986"/>
    <w:multiLevelType w:val="hybridMultilevel"/>
    <w:tmpl w:val="6CC6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337A25"/>
    <w:multiLevelType w:val="hybridMultilevel"/>
    <w:tmpl w:val="20AE3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A97F07"/>
    <w:multiLevelType w:val="multilevel"/>
    <w:tmpl w:val="05363F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194B70"/>
    <w:multiLevelType w:val="hybridMultilevel"/>
    <w:tmpl w:val="A08A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0"/>
  </w:num>
  <w:num w:numId="4">
    <w:abstractNumId w:val="5"/>
  </w:num>
  <w:num w:numId="5">
    <w:abstractNumId w:val="4"/>
  </w:num>
  <w:num w:numId="6">
    <w:abstractNumId w:val="8"/>
  </w:num>
  <w:num w:numId="7">
    <w:abstractNumId w:val="7"/>
  </w:num>
  <w:num w:numId="8">
    <w:abstractNumId w:val="6"/>
  </w:num>
  <w:num w:numId="9">
    <w:abstractNumId w:val="3"/>
  </w:num>
  <w:num w:numId="10">
    <w:abstractNumId w:val="1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wMjAxMzQxMjI1MjFX0lEKTi0uzszPAykwqgUA0zHn3CwAAAA="/>
  </w:docVars>
  <w:rsids>
    <w:rsidRoot w:val="00CC6F81"/>
    <w:rsid w:val="00033769"/>
    <w:rsid w:val="00036A21"/>
    <w:rsid w:val="000872FF"/>
    <w:rsid w:val="000E52CF"/>
    <w:rsid w:val="00120559"/>
    <w:rsid w:val="001341A8"/>
    <w:rsid w:val="00135BFA"/>
    <w:rsid w:val="00135DE2"/>
    <w:rsid w:val="001606C5"/>
    <w:rsid w:val="0019757B"/>
    <w:rsid w:val="001A6C06"/>
    <w:rsid w:val="001B301E"/>
    <w:rsid w:val="001D6A98"/>
    <w:rsid w:val="00204391"/>
    <w:rsid w:val="00230A64"/>
    <w:rsid w:val="00241E74"/>
    <w:rsid w:val="002709F2"/>
    <w:rsid w:val="002871CF"/>
    <w:rsid w:val="00290375"/>
    <w:rsid w:val="002A76BE"/>
    <w:rsid w:val="002D3F6C"/>
    <w:rsid w:val="002E40CD"/>
    <w:rsid w:val="002E6F01"/>
    <w:rsid w:val="002F0428"/>
    <w:rsid w:val="003014D2"/>
    <w:rsid w:val="003053C3"/>
    <w:rsid w:val="00345EC0"/>
    <w:rsid w:val="00391B93"/>
    <w:rsid w:val="003B4108"/>
    <w:rsid w:val="003C4A54"/>
    <w:rsid w:val="003C6423"/>
    <w:rsid w:val="003E6D20"/>
    <w:rsid w:val="00412507"/>
    <w:rsid w:val="0041383C"/>
    <w:rsid w:val="00422150"/>
    <w:rsid w:val="0046405D"/>
    <w:rsid w:val="004857AE"/>
    <w:rsid w:val="00491051"/>
    <w:rsid w:val="004C6D3A"/>
    <w:rsid w:val="004D3F53"/>
    <w:rsid w:val="005037D4"/>
    <w:rsid w:val="00511D04"/>
    <w:rsid w:val="00580189"/>
    <w:rsid w:val="0058019C"/>
    <w:rsid w:val="00591D10"/>
    <w:rsid w:val="005A1D0A"/>
    <w:rsid w:val="005A50FF"/>
    <w:rsid w:val="005D775E"/>
    <w:rsid w:val="005F44E0"/>
    <w:rsid w:val="005F6B72"/>
    <w:rsid w:val="006264AB"/>
    <w:rsid w:val="00632AE1"/>
    <w:rsid w:val="00647964"/>
    <w:rsid w:val="00655D55"/>
    <w:rsid w:val="00674843"/>
    <w:rsid w:val="006C5ADB"/>
    <w:rsid w:val="007235AE"/>
    <w:rsid w:val="00724538"/>
    <w:rsid w:val="00745BAB"/>
    <w:rsid w:val="00756268"/>
    <w:rsid w:val="00781110"/>
    <w:rsid w:val="00782D11"/>
    <w:rsid w:val="007909A0"/>
    <w:rsid w:val="007A738D"/>
    <w:rsid w:val="007C417A"/>
    <w:rsid w:val="007C6ED1"/>
    <w:rsid w:val="007E0FBF"/>
    <w:rsid w:val="007E3D22"/>
    <w:rsid w:val="00811A8E"/>
    <w:rsid w:val="0083010D"/>
    <w:rsid w:val="008649B0"/>
    <w:rsid w:val="0087174A"/>
    <w:rsid w:val="00877E05"/>
    <w:rsid w:val="0088078F"/>
    <w:rsid w:val="008D31C1"/>
    <w:rsid w:val="008E195C"/>
    <w:rsid w:val="0091567B"/>
    <w:rsid w:val="00924E1D"/>
    <w:rsid w:val="0094165F"/>
    <w:rsid w:val="009B1E3B"/>
    <w:rsid w:val="009E718C"/>
    <w:rsid w:val="009F5270"/>
    <w:rsid w:val="00A03F5F"/>
    <w:rsid w:val="00A73DA5"/>
    <w:rsid w:val="00A778DE"/>
    <w:rsid w:val="00A973A1"/>
    <w:rsid w:val="00AA40A6"/>
    <w:rsid w:val="00AA4E41"/>
    <w:rsid w:val="00AB0572"/>
    <w:rsid w:val="00AB7E0F"/>
    <w:rsid w:val="00AE4C55"/>
    <w:rsid w:val="00AF3B00"/>
    <w:rsid w:val="00B3032E"/>
    <w:rsid w:val="00B30350"/>
    <w:rsid w:val="00B340A5"/>
    <w:rsid w:val="00B60DD5"/>
    <w:rsid w:val="00B92350"/>
    <w:rsid w:val="00BA1988"/>
    <w:rsid w:val="00BB085E"/>
    <w:rsid w:val="00BB1699"/>
    <w:rsid w:val="00BB75E2"/>
    <w:rsid w:val="00BD541D"/>
    <w:rsid w:val="00BF0691"/>
    <w:rsid w:val="00BF6453"/>
    <w:rsid w:val="00C27377"/>
    <w:rsid w:val="00C3708A"/>
    <w:rsid w:val="00C40A78"/>
    <w:rsid w:val="00C50195"/>
    <w:rsid w:val="00C77EF1"/>
    <w:rsid w:val="00CA241B"/>
    <w:rsid w:val="00CC0FE9"/>
    <w:rsid w:val="00CC6F81"/>
    <w:rsid w:val="00CC72C5"/>
    <w:rsid w:val="00CD6FA0"/>
    <w:rsid w:val="00CE0EF8"/>
    <w:rsid w:val="00CE20A7"/>
    <w:rsid w:val="00CE676A"/>
    <w:rsid w:val="00D0445D"/>
    <w:rsid w:val="00D079BF"/>
    <w:rsid w:val="00D119C3"/>
    <w:rsid w:val="00D17CBD"/>
    <w:rsid w:val="00D24674"/>
    <w:rsid w:val="00D35123"/>
    <w:rsid w:val="00D46D1D"/>
    <w:rsid w:val="00D52713"/>
    <w:rsid w:val="00D73826"/>
    <w:rsid w:val="00D82F51"/>
    <w:rsid w:val="00DF5306"/>
    <w:rsid w:val="00E16E7F"/>
    <w:rsid w:val="00E17576"/>
    <w:rsid w:val="00E24BF0"/>
    <w:rsid w:val="00E3587F"/>
    <w:rsid w:val="00E40108"/>
    <w:rsid w:val="00E4135C"/>
    <w:rsid w:val="00E5149B"/>
    <w:rsid w:val="00E63091"/>
    <w:rsid w:val="00E70228"/>
    <w:rsid w:val="00EA3F09"/>
    <w:rsid w:val="00EC73BD"/>
    <w:rsid w:val="00EE5B23"/>
    <w:rsid w:val="00EF3848"/>
    <w:rsid w:val="00EF6FCA"/>
    <w:rsid w:val="00F23E76"/>
    <w:rsid w:val="00F53E9C"/>
    <w:rsid w:val="00FA3ACF"/>
    <w:rsid w:val="00FB7139"/>
    <w:rsid w:val="00FC65B6"/>
    <w:rsid w:val="00FD4DAD"/>
    <w:rsid w:val="00FE7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505A1-E1B8-411B-A76E-E213E4C8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F81"/>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F81"/>
    <w:pPr>
      <w:tabs>
        <w:tab w:val="center" w:pos="4677"/>
        <w:tab w:val="right" w:pos="9355"/>
      </w:tabs>
      <w:spacing w:after="0" w:line="240" w:lineRule="auto"/>
    </w:pPr>
  </w:style>
  <w:style w:type="character" w:customStyle="1" w:styleId="HeaderChar">
    <w:name w:val="Header Char"/>
    <w:basedOn w:val="DefaultParagraphFont"/>
    <w:link w:val="Header"/>
    <w:uiPriority w:val="99"/>
    <w:rsid w:val="00CC6F81"/>
    <w:rPr>
      <w:lang w:val="ru-RU"/>
    </w:rPr>
  </w:style>
  <w:style w:type="paragraph" w:styleId="Footer">
    <w:name w:val="footer"/>
    <w:basedOn w:val="Normal"/>
    <w:link w:val="FooterChar"/>
    <w:uiPriority w:val="99"/>
    <w:unhideWhenUsed/>
    <w:rsid w:val="00CC6F81"/>
    <w:pPr>
      <w:tabs>
        <w:tab w:val="center" w:pos="4677"/>
        <w:tab w:val="right" w:pos="9355"/>
      </w:tabs>
      <w:spacing w:after="0" w:line="240" w:lineRule="auto"/>
    </w:pPr>
  </w:style>
  <w:style w:type="character" w:customStyle="1" w:styleId="FooterChar">
    <w:name w:val="Footer Char"/>
    <w:basedOn w:val="DefaultParagraphFont"/>
    <w:link w:val="Footer"/>
    <w:uiPriority w:val="99"/>
    <w:rsid w:val="00CC6F81"/>
    <w:rPr>
      <w:lang w:val="ru-RU"/>
    </w:rPr>
  </w:style>
  <w:style w:type="paragraph" w:styleId="ListParagraph">
    <w:name w:val="List Paragraph"/>
    <w:aliases w:val="List Paragraph (numbered (a)),Lapis Bulleted List"/>
    <w:basedOn w:val="Normal"/>
    <w:link w:val="ListParagraphChar"/>
    <w:uiPriority w:val="34"/>
    <w:qFormat/>
    <w:rsid w:val="00CC6F81"/>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ist Paragraph (numbered (a)) Char,Lapis Bulleted List Char"/>
    <w:basedOn w:val="DefaultParagraphFont"/>
    <w:link w:val="ListParagraph"/>
    <w:uiPriority w:val="34"/>
    <w:rsid w:val="00CC6F81"/>
    <w:rPr>
      <w:rFonts w:eastAsiaTheme="minorEastAsia"/>
      <w:sz w:val="24"/>
      <w:szCs w:val="24"/>
      <w:lang w:val="en-GB" w:eastAsia="da-DK"/>
    </w:rPr>
  </w:style>
  <w:style w:type="paragraph" w:customStyle="1" w:styleId="Text2">
    <w:name w:val="Text 2"/>
    <w:basedOn w:val="Normal"/>
    <w:rsid w:val="00CC6F81"/>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BodyText">
    <w:name w:val="Body Text"/>
    <w:basedOn w:val="Normal"/>
    <w:link w:val="BodyTextChar"/>
    <w:uiPriority w:val="1"/>
    <w:qFormat/>
    <w:rsid w:val="00CC6F81"/>
    <w:pPr>
      <w:widowControl w:val="0"/>
      <w:autoSpaceDE w:val="0"/>
      <w:autoSpaceDN w:val="0"/>
      <w:spacing w:after="0" w:line="240" w:lineRule="auto"/>
    </w:pPr>
    <w:rPr>
      <w:rFonts w:ascii="Garamond" w:eastAsia="Garamond" w:hAnsi="Garamond" w:cs="Garamond"/>
      <w:sz w:val="24"/>
      <w:szCs w:val="24"/>
      <w:lang w:val="en-US"/>
    </w:rPr>
  </w:style>
  <w:style w:type="character" w:customStyle="1" w:styleId="BodyTextChar">
    <w:name w:val="Body Text Char"/>
    <w:basedOn w:val="DefaultParagraphFont"/>
    <w:link w:val="BodyText"/>
    <w:uiPriority w:val="1"/>
    <w:rsid w:val="00CC6F81"/>
    <w:rPr>
      <w:rFonts w:ascii="Garamond" w:eastAsia="Garamond" w:hAnsi="Garamond" w:cs="Garamond"/>
      <w:sz w:val="24"/>
      <w:szCs w:val="24"/>
    </w:rPr>
  </w:style>
  <w:style w:type="paragraph" w:styleId="BalloonText">
    <w:name w:val="Balloon Text"/>
    <w:basedOn w:val="Normal"/>
    <w:link w:val="BalloonTextChar"/>
    <w:uiPriority w:val="99"/>
    <w:semiHidden/>
    <w:unhideWhenUsed/>
    <w:rsid w:val="0088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78F"/>
    <w:rPr>
      <w:rFonts w:ascii="Segoe UI" w:hAnsi="Segoe UI" w:cs="Segoe UI"/>
      <w:sz w:val="18"/>
      <w:szCs w:val="18"/>
      <w:lang w:val="ru-RU"/>
    </w:rPr>
  </w:style>
  <w:style w:type="paragraph" w:styleId="CommentText">
    <w:name w:val="annotation text"/>
    <w:basedOn w:val="Normal"/>
    <w:link w:val="CommentTextChar"/>
    <w:uiPriority w:val="99"/>
    <w:unhideWhenUsed/>
    <w:rsid w:val="0083010D"/>
    <w:pPr>
      <w:spacing w:line="240" w:lineRule="auto"/>
    </w:pPr>
    <w:rPr>
      <w:sz w:val="20"/>
      <w:szCs w:val="20"/>
    </w:rPr>
  </w:style>
  <w:style w:type="character" w:customStyle="1" w:styleId="CommentTextChar">
    <w:name w:val="Comment Text Char"/>
    <w:basedOn w:val="DefaultParagraphFont"/>
    <w:link w:val="CommentText"/>
    <w:uiPriority w:val="99"/>
    <w:rsid w:val="0083010D"/>
    <w:rPr>
      <w:sz w:val="20"/>
      <w:szCs w:val="20"/>
      <w:lang w:val="ru-RU"/>
    </w:rPr>
  </w:style>
  <w:style w:type="character" w:styleId="CommentReference">
    <w:name w:val="annotation reference"/>
    <w:basedOn w:val="DefaultParagraphFont"/>
    <w:uiPriority w:val="99"/>
    <w:semiHidden/>
    <w:unhideWhenUsed/>
    <w:rsid w:val="00422150"/>
    <w:rPr>
      <w:sz w:val="16"/>
      <w:szCs w:val="16"/>
    </w:rPr>
  </w:style>
  <w:style w:type="paragraph" w:styleId="CommentSubject">
    <w:name w:val="annotation subject"/>
    <w:basedOn w:val="CommentText"/>
    <w:next w:val="CommentText"/>
    <w:link w:val="CommentSubjectChar"/>
    <w:uiPriority w:val="99"/>
    <w:semiHidden/>
    <w:unhideWhenUsed/>
    <w:rsid w:val="00422150"/>
    <w:rPr>
      <w:b/>
      <w:bCs/>
    </w:rPr>
  </w:style>
  <w:style w:type="character" w:customStyle="1" w:styleId="CommentSubjectChar">
    <w:name w:val="Comment Subject Char"/>
    <w:basedOn w:val="CommentTextChar"/>
    <w:link w:val="CommentSubject"/>
    <w:uiPriority w:val="99"/>
    <w:semiHidden/>
    <w:rsid w:val="00422150"/>
    <w:rPr>
      <w:b/>
      <w:bCs/>
      <w:sz w:val="20"/>
      <w:szCs w:val="20"/>
      <w:lang w:val="ru-RU"/>
    </w:rPr>
  </w:style>
  <w:style w:type="character" w:styleId="Hyperlink">
    <w:name w:val="Hyperlink"/>
    <w:basedOn w:val="DefaultParagraphFont"/>
    <w:uiPriority w:val="99"/>
    <w:unhideWhenUsed/>
    <w:rsid w:val="00BB75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jam@ukraine-aci.com@ukraine-ac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lkok@ukraine-aci.com@ukraine-ac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332BB-6A64-4A74-AC33-1DB1E1B6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1217</Words>
  <Characters>9018</Characters>
  <Application>Microsoft Office Word</Application>
  <DocSecurity>0</DocSecurity>
  <Lines>191</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Tkeshelashvili</dc:creator>
  <cp:keywords/>
  <dc:description/>
  <cp:lastModifiedBy>Dmytro Semianystyi</cp:lastModifiedBy>
  <cp:revision>2</cp:revision>
  <cp:lastPrinted>2018-08-06T06:00:00Z</cp:lastPrinted>
  <dcterms:created xsi:type="dcterms:W3CDTF">2019-03-01T10:56:00Z</dcterms:created>
  <dcterms:modified xsi:type="dcterms:W3CDTF">2019-03-01T10:56:00Z</dcterms:modified>
</cp:coreProperties>
</file>